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F660E6" w14:textId="13E3D023" w:rsidR="008E7F22" w:rsidRPr="00E06C9E" w:rsidRDefault="004D2A70" w:rsidP="001926BB">
      <w:pPr>
        <w:pStyle w:val="LabTitle"/>
        <w:spacing w:line="240" w:lineRule="auto"/>
        <w:contextualSpacing/>
        <w:jc w:val="left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51FBB9E" wp14:editId="77A172A2">
            <wp:simplePos x="0" y="0"/>
            <wp:positionH relativeFrom="column">
              <wp:posOffset>3263900</wp:posOffset>
            </wp:positionH>
            <wp:positionV relativeFrom="paragraph">
              <wp:posOffset>368300</wp:posOffset>
            </wp:positionV>
            <wp:extent cx="1349427" cy="1530350"/>
            <wp:effectExtent l="0" t="0" r="0" b="0"/>
            <wp:wrapSquare wrapText="bothSides"/>
            <wp:docPr id="1" name="Picture 1" descr="Smokey Bear Educational Resources - Mississippi Forestry Commis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mokey Bear Educational Resources - Mississippi Forestry Commissio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427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75F5">
        <w:t>B</w:t>
      </w:r>
      <w:r>
        <w:t xml:space="preserve">urn </w:t>
      </w:r>
      <w:r w:rsidR="00DF75F5">
        <w:t>Ratios</w:t>
      </w:r>
      <w:r>
        <w:t xml:space="preserve"> for Fire Severity Mapping</w:t>
      </w:r>
    </w:p>
    <w:p w14:paraId="60A05EF6" w14:textId="24B42FB4" w:rsidR="008E7F22" w:rsidRDefault="00E15109" w:rsidP="001926BB">
      <w:pPr>
        <w:pStyle w:val="LabHeader2"/>
        <w:spacing w:line="240" w:lineRule="auto"/>
        <w:contextualSpacing/>
      </w:pPr>
      <w:r>
        <w:t>Objectives</w:t>
      </w:r>
    </w:p>
    <w:p w14:paraId="07E0A970" w14:textId="14E37A97" w:rsidR="00AC76E1" w:rsidRDefault="00AC76E1" w:rsidP="00AC76E1">
      <w:pPr>
        <w:pStyle w:val="LabObjectives"/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E52EAC" wp14:editId="05833060">
                <wp:simplePos x="0" y="0"/>
                <wp:positionH relativeFrom="page">
                  <wp:posOffset>5359400</wp:posOffset>
                </wp:positionH>
                <wp:positionV relativeFrom="paragraph">
                  <wp:posOffset>123190</wp:posOffset>
                </wp:positionV>
                <wp:extent cx="1320800" cy="971550"/>
                <wp:effectExtent l="95250" t="19050" r="31750" b="38100"/>
                <wp:wrapSquare wrapText="bothSides"/>
                <wp:docPr id="1341162819" name="Speech Bubble: 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971550"/>
                        </a:xfrm>
                        <a:prstGeom prst="wedgeEllipseCallout">
                          <a:avLst>
                            <a:gd name="adj1" fmla="val -56343"/>
                            <a:gd name="adj2" fmla="val 33988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547FF1" w14:textId="01AF16EA" w:rsidR="004D2A70" w:rsidRPr="004D2A70" w:rsidRDefault="004D2A70" w:rsidP="004D2A70">
                            <w:pPr>
                              <w:jc w:val="center"/>
                              <w:rPr>
                                <w:rFonts w:ascii="Palatino Linotype" w:hAnsi="Palatino Linotype"/>
                                <w:color w:val="000000" w:themeColor="text1"/>
                              </w:rPr>
                            </w:pPr>
                            <w:r w:rsidRPr="004D2A70">
                              <w:rPr>
                                <w:rFonts w:ascii="Palatino Linotype" w:hAnsi="Palatino Linotype"/>
                                <w:color w:val="000000" w:themeColor="text1"/>
                              </w:rPr>
                              <w:t xml:space="preserve">Only you can </w:t>
                            </w:r>
                            <w:r w:rsidRPr="004D2A70">
                              <w:rPr>
                                <w:rFonts w:ascii="Palatino Linotype" w:hAnsi="Palatino Linotype"/>
                                <w:b/>
                                <w:bCs/>
                                <w:color w:val="000000" w:themeColor="text1"/>
                              </w:rPr>
                              <w:t>map</w:t>
                            </w:r>
                            <w:r w:rsidRPr="004D2A70">
                              <w:rPr>
                                <w:rFonts w:ascii="Palatino Linotype" w:hAnsi="Palatino Linotype"/>
                                <w:color w:val="000000" w:themeColor="text1"/>
                              </w:rPr>
                              <w:t xml:space="preserve"> forest fires!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E52EAC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4" o:spid="_x0000_s1026" type="#_x0000_t63" style="position:absolute;left:0;text-align:left;margin-left:422pt;margin-top:9.7pt;width:104pt;height:76.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" adj="-1370,18141" fillcolor="white [3212]" strokecolor="#272727 [2749]" strokeweight="1.5pt">
                <v:textbox>
                  <w:txbxContent>
                    <w:p w14:paraId="1A547FF1" w14:textId="01AF16EA" w:rsidR="004D2A70" w:rsidRPr="004D2A70" w:rsidRDefault="004D2A70" w:rsidP="004D2A70">
                      <w:pPr>
                        <w:jc w:val="center"/>
                        <w:rPr>
                          <w:rFonts w:ascii="Palatino Linotype" w:hAnsi="Palatino Linotype"/>
                          <w:color w:val="000000" w:themeColor="text1"/>
                        </w:rPr>
                      </w:pPr>
                      <w:r w:rsidRPr="004D2A70">
                        <w:rPr>
                          <w:rFonts w:ascii="Palatino Linotype" w:hAnsi="Palatino Linotype"/>
                          <w:color w:val="000000" w:themeColor="text1"/>
                        </w:rPr>
                        <w:t xml:space="preserve">Only you can </w:t>
                      </w:r>
                      <w:r w:rsidRPr="004D2A70">
                        <w:rPr>
                          <w:rFonts w:ascii="Palatino Linotype" w:hAnsi="Palatino Linotype"/>
                          <w:b/>
                          <w:bCs/>
                          <w:color w:val="000000" w:themeColor="text1"/>
                        </w:rPr>
                        <w:t>map</w:t>
                      </w:r>
                      <w:r w:rsidRPr="004D2A70">
                        <w:rPr>
                          <w:rFonts w:ascii="Palatino Linotype" w:hAnsi="Palatino Linotype"/>
                          <w:color w:val="000000" w:themeColor="text1"/>
                        </w:rPr>
                        <w:t xml:space="preserve"> forest fires!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t>Compare and contrast the spectral reflectance of burned areas and the spectral reflectance of healthy forests</w:t>
      </w:r>
      <w:r>
        <w:t>.</w:t>
      </w:r>
    </w:p>
    <w:p w14:paraId="5BABEBC8" w14:textId="19499411" w:rsidR="004D2A70" w:rsidRDefault="004D2A70" w:rsidP="001926BB">
      <w:pPr>
        <w:pStyle w:val="LabObjectives"/>
        <w:spacing w:line="240" w:lineRule="auto"/>
      </w:pPr>
      <w:r>
        <w:t>Create an estimate of burn severity using pre- and post-fire satellite data.</w:t>
      </w:r>
    </w:p>
    <w:p w14:paraId="6B11BE57" w14:textId="16396223" w:rsidR="00AC0A33" w:rsidRDefault="004D2A70" w:rsidP="00AC0A33">
      <w:pPr>
        <w:pStyle w:val="LabObjectives"/>
        <w:spacing w:line="240" w:lineRule="auto"/>
      </w:pPr>
      <w:r>
        <w:t>Understand how multispectral data can help us map forest fires and estimate burn severity</w:t>
      </w:r>
      <w:r w:rsidR="00AC76E1">
        <w:t>.</w:t>
      </w:r>
    </w:p>
    <w:p w14:paraId="69AF9E66" w14:textId="1C5B8DD6" w:rsidR="005A7DBD" w:rsidRDefault="004D2A70" w:rsidP="001926BB">
      <w:pPr>
        <w:pStyle w:val="LabHeader2"/>
        <w:spacing w:line="240" w:lineRule="auto"/>
        <w:contextualSpacing/>
      </w:pPr>
      <w:r>
        <w:t xml:space="preserve">Background and </w:t>
      </w:r>
      <w:r w:rsidR="005A7DBD">
        <w:t>Data</w:t>
      </w:r>
    </w:p>
    <w:p w14:paraId="39EA623C" w14:textId="04C0F2D3" w:rsidR="001926BB" w:rsidRDefault="004D2A70" w:rsidP="001926BB">
      <w:pPr>
        <w:pStyle w:val="LabList"/>
        <w:numPr>
          <w:ilvl w:val="0"/>
          <w:numId w:val="0"/>
        </w:numPr>
        <w:spacing w:line="240" w:lineRule="auto"/>
      </w:pPr>
      <w:r w:rsidRPr="005A7DBD">
        <w:t xml:space="preserve">The </w:t>
      </w:r>
      <w:r w:rsidRPr="00AB128F">
        <w:rPr>
          <w:b/>
          <w:bCs/>
        </w:rPr>
        <w:t>2016 Sand Fire</w:t>
      </w:r>
      <w:r w:rsidR="001926BB">
        <w:t xml:space="preserve"> </w:t>
      </w:r>
      <w:r w:rsidRPr="005A7DBD">
        <w:t>occurred in the Angeles National Forest east of Los Ang</w:t>
      </w:r>
      <w:r w:rsidR="00AC76E1">
        <w:t>e</w:t>
      </w:r>
      <w:r w:rsidRPr="005A7DBD">
        <w:t xml:space="preserve">les, California. It began on July 22, 2016. The fire was not contained until August 3, at which point it had burned an estimated 35,000 acres. </w:t>
      </w:r>
      <w:r w:rsidR="001926BB">
        <w:t xml:space="preserve">The </w:t>
      </w:r>
      <w:r w:rsidR="00AC76E1">
        <w:t>burn extent is</w:t>
      </w:r>
      <w:r w:rsidR="001926BB">
        <w:t xml:space="preserve"> within the yellow circle in Figure 1. </w:t>
      </w:r>
    </w:p>
    <w:p w14:paraId="51736AFB" w14:textId="07E71A30" w:rsidR="001926BB" w:rsidRDefault="001926BB" w:rsidP="001926BB">
      <w:pPr>
        <w:pStyle w:val="LabList"/>
        <w:numPr>
          <w:ilvl w:val="0"/>
          <w:numId w:val="0"/>
        </w:numPr>
        <w:spacing w:line="24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DFBC2A" wp14:editId="2C5E552C">
                <wp:simplePos x="0" y="0"/>
                <wp:positionH relativeFrom="column">
                  <wp:posOffset>984250</wp:posOffset>
                </wp:positionH>
                <wp:positionV relativeFrom="paragraph">
                  <wp:posOffset>248285</wp:posOffset>
                </wp:positionV>
                <wp:extent cx="1885950" cy="1727200"/>
                <wp:effectExtent l="19050" t="19050" r="19050" b="25400"/>
                <wp:wrapNone/>
                <wp:docPr id="160059428" name="Oval 160059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1727200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8743B5" id="Oval 160059428" o:spid="_x0000_s1026" style="position:absolute;margin-left:77.5pt;margin-top:19.55pt;width:148.5pt;height:13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" filled="f" strokecolor="yellow" strokeweight="2.25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3A4BDD13" wp14:editId="665D3C6A">
            <wp:extent cx="5392544" cy="3771900"/>
            <wp:effectExtent l="0" t="0" r="0" b="0"/>
            <wp:docPr id="2118541068" name="Picture 2118541068" descr="A satellite view of a mountain ran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541068" name="Picture 2118541068" descr="A satellite view of a mountain rang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4925" cy="377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FB5E4" w14:textId="07A45532" w:rsidR="001926BB" w:rsidRDefault="001926BB" w:rsidP="001926BB">
      <w:pPr>
        <w:pStyle w:val="LabList"/>
        <w:numPr>
          <w:ilvl w:val="0"/>
          <w:numId w:val="0"/>
        </w:numPr>
        <w:spacing w:line="240" w:lineRule="auto"/>
      </w:pPr>
      <w:r w:rsidRPr="00AC76E1">
        <w:rPr>
          <w:b/>
          <w:bCs/>
        </w:rPr>
        <w:t>Figure 1.</w:t>
      </w:r>
      <w:r>
        <w:t xml:space="preserve"> Extent of fires shown in false color, post-fire Landsat 8 Operational Land Imager (OLI) data. </w:t>
      </w:r>
    </w:p>
    <w:p w14:paraId="704182BF" w14:textId="77777777" w:rsidR="00AB128F" w:rsidRDefault="00AB128F" w:rsidP="001926BB">
      <w:pPr>
        <w:pStyle w:val="LabList"/>
        <w:numPr>
          <w:ilvl w:val="0"/>
          <w:numId w:val="0"/>
        </w:numPr>
        <w:spacing w:line="240" w:lineRule="auto"/>
      </w:pPr>
    </w:p>
    <w:p w14:paraId="52F5C814" w14:textId="5FC66CD2" w:rsidR="004D2A70" w:rsidRDefault="004D2A70" w:rsidP="001926BB">
      <w:pPr>
        <w:pStyle w:val="LabList"/>
        <w:numPr>
          <w:ilvl w:val="0"/>
          <w:numId w:val="0"/>
        </w:numPr>
        <w:spacing w:line="240" w:lineRule="auto"/>
      </w:pPr>
      <w:r w:rsidRPr="005A7DBD">
        <w:t>You have been provided with two Landsat 8 Operational Land Imager (OLI) scenes. The pre-fire scene (</w:t>
      </w:r>
      <w:r w:rsidRPr="005A7DBD">
        <w:rPr>
          <w:b/>
          <w:bCs/>
        </w:rPr>
        <w:t>sand_fire_pre_4_17_2015.tif</w:t>
      </w:r>
      <w:r w:rsidRPr="005A7DBD">
        <w:t xml:space="preserve">) was collected on April 17, </w:t>
      </w:r>
      <w:proofErr w:type="gramStart"/>
      <w:r w:rsidRPr="005A7DBD">
        <w:t>2015</w:t>
      </w:r>
      <w:proofErr w:type="gramEnd"/>
      <w:r w:rsidRPr="005A7DBD">
        <w:t xml:space="preserve"> while </w:t>
      </w:r>
      <w:r w:rsidRPr="005A7DBD">
        <w:lastRenderedPageBreak/>
        <w:t>the post-fire scene (</w:t>
      </w:r>
      <w:r w:rsidRPr="005A7DBD">
        <w:rPr>
          <w:b/>
          <w:bCs/>
        </w:rPr>
        <w:t>sand_fire_post_4_12_2017.tif</w:t>
      </w:r>
      <w:r w:rsidRPr="005A7DBD">
        <w:t xml:space="preserve">) was collected on April 22, 2017. </w:t>
      </w:r>
      <w:proofErr w:type="gramStart"/>
      <w:r w:rsidRPr="005A7DBD">
        <w:t>These</w:t>
      </w:r>
      <w:proofErr w:type="gramEnd"/>
      <w:r w:rsidRPr="005A7DBD">
        <w:t xml:space="preserve"> data have been processed to surface reflectance. </w:t>
      </w:r>
      <w:r w:rsidR="00AB128F">
        <w:t xml:space="preserve">The band designations are provided in Table 1. </w:t>
      </w:r>
    </w:p>
    <w:p w14:paraId="33C4983E" w14:textId="77777777" w:rsidR="00AB128F" w:rsidRDefault="00AB128F" w:rsidP="001926BB">
      <w:pPr>
        <w:pStyle w:val="LabList"/>
        <w:numPr>
          <w:ilvl w:val="0"/>
          <w:numId w:val="0"/>
        </w:numPr>
        <w:spacing w:line="240" w:lineRule="auto"/>
      </w:pPr>
    </w:p>
    <w:p w14:paraId="68FDBC66" w14:textId="41567926" w:rsidR="00AB128F" w:rsidRDefault="00AB128F" w:rsidP="001926BB">
      <w:pPr>
        <w:pStyle w:val="LabList"/>
        <w:numPr>
          <w:ilvl w:val="0"/>
          <w:numId w:val="0"/>
        </w:numPr>
        <w:spacing w:line="240" w:lineRule="auto"/>
      </w:pPr>
      <w:r w:rsidRPr="001926BB">
        <w:rPr>
          <w:b/>
          <w:bCs/>
        </w:rPr>
        <w:t>Table 1.</w:t>
      </w:r>
      <w:r>
        <w:t xml:space="preserve"> Landsat Operational Land Imager (OLI) spectral bands.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AB128F" w14:paraId="5F3E2635" w14:textId="77777777" w:rsidTr="00AB128F">
        <w:tc>
          <w:tcPr>
            <w:tcW w:w="4675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30737479" w14:textId="26E29DDA" w:rsidR="00AB128F" w:rsidRP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  <w:rPr>
                <w:b/>
                <w:bCs/>
              </w:rPr>
            </w:pPr>
            <w:r w:rsidRPr="00AB128F">
              <w:rPr>
                <w:b/>
                <w:bCs/>
              </w:rPr>
              <w:t>Band Number</w:t>
            </w:r>
          </w:p>
        </w:tc>
        <w:tc>
          <w:tcPr>
            <w:tcW w:w="4675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58480D96" w14:textId="72D589BA" w:rsidR="00AB128F" w:rsidRP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  <w:rPr>
                <w:b/>
                <w:bCs/>
              </w:rPr>
            </w:pPr>
            <w:r w:rsidRPr="00AB128F">
              <w:rPr>
                <w:b/>
                <w:bCs/>
              </w:rPr>
              <w:t>Spectral Range (µm)</w:t>
            </w:r>
          </w:p>
        </w:tc>
      </w:tr>
      <w:tr w:rsidR="00AB128F" w14:paraId="6CD4E9A7" w14:textId="77777777" w:rsidTr="00AB128F">
        <w:tc>
          <w:tcPr>
            <w:tcW w:w="4675" w:type="dxa"/>
            <w:tcBorders>
              <w:top w:val="single" w:sz="4" w:space="0" w:color="auto"/>
            </w:tcBorders>
            <w:vAlign w:val="center"/>
          </w:tcPr>
          <w:p w14:paraId="6E4C9C9D" w14:textId="4791DBFB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Band 1</w:t>
            </w:r>
          </w:p>
        </w:tc>
        <w:tc>
          <w:tcPr>
            <w:tcW w:w="4675" w:type="dxa"/>
            <w:tcBorders>
              <w:top w:val="single" w:sz="4" w:space="0" w:color="auto"/>
            </w:tcBorders>
            <w:vAlign w:val="center"/>
          </w:tcPr>
          <w:p w14:paraId="0C211951" w14:textId="36E9C595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Blue Edge (0.43 to 0.45)</w:t>
            </w:r>
          </w:p>
        </w:tc>
      </w:tr>
      <w:tr w:rsidR="00AB128F" w14:paraId="2F15E908" w14:textId="77777777" w:rsidTr="00AB128F">
        <w:tc>
          <w:tcPr>
            <w:tcW w:w="4675" w:type="dxa"/>
            <w:vAlign w:val="center"/>
          </w:tcPr>
          <w:p w14:paraId="3F149278" w14:textId="0FF107D0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Band 2</w:t>
            </w:r>
          </w:p>
        </w:tc>
        <w:tc>
          <w:tcPr>
            <w:tcW w:w="4675" w:type="dxa"/>
            <w:vAlign w:val="center"/>
          </w:tcPr>
          <w:p w14:paraId="1343E787" w14:textId="0AD73CAB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Blue (0.45 to 0.51)</w:t>
            </w:r>
          </w:p>
        </w:tc>
      </w:tr>
      <w:tr w:rsidR="00AB128F" w14:paraId="02DE3D2D" w14:textId="77777777" w:rsidTr="00AB128F">
        <w:tc>
          <w:tcPr>
            <w:tcW w:w="4675" w:type="dxa"/>
            <w:vAlign w:val="center"/>
          </w:tcPr>
          <w:p w14:paraId="76999A37" w14:textId="0C3B4EC2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Band 3</w:t>
            </w:r>
          </w:p>
        </w:tc>
        <w:tc>
          <w:tcPr>
            <w:tcW w:w="4675" w:type="dxa"/>
            <w:vAlign w:val="center"/>
          </w:tcPr>
          <w:p w14:paraId="7DBE26AA" w14:textId="115C96C4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Green (0.53 to 0.59)</w:t>
            </w:r>
          </w:p>
        </w:tc>
      </w:tr>
      <w:tr w:rsidR="00AB128F" w14:paraId="77D83719" w14:textId="77777777" w:rsidTr="00AB128F">
        <w:tc>
          <w:tcPr>
            <w:tcW w:w="4675" w:type="dxa"/>
            <w:vAlign w:val="center"/>
          </w:tcPr>
          <w:p w14:paraId="22DD8CBD" w14:textId="25AA2813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Band 4</w:t>
            </w:r>
          </w:p>
        </w:tc>
        <w:tc>
          <w:tcPr>
            <w:tcW w:w="4675" w:type="dxa"/>
            <w:vAlign w:val="center"/>
          </w:tcPr>
          <w:p w14:paraId="286CFAA4" w14:textId="6E4F3F66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Red (0.64 to 0.67)</w:t>
            </w:r>
          </w:p>
        </w:tc>
      </w:tr>
      <w:tr w:rsidR="00AB128F" w14:paraId="7A0F2A0D" w14:textId="77777777" w:rsidTr="00AB128F">
        <w:tc>
          <w:tcPr>
            <w:tcW w:w="4675" w:type="dxa"/>
            <w:vAlign w:val="center"/>
          </w:tcPr>
          <w:p w14:paraId="3CC6ABE6" w14:textId="2DEE24ED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Band 5</w:t>
            </w:r>
          </w:p>
        </w:tc>
        <w:tc>
          <w:tcPr>
            <w:tcW w:w="4675" w:type="dxa"/>
            <w:vAlign w:val="center"/>
          </w:tcPr>
          <w:p w14:paraId="2CBD6D19" w14:textId="41858FFA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NIR (0.85 to 0.88)</w:t>
            </w:r>
          </w:p>
        </w:tc>
      </w:tr>
      <w:tr w:rsidR="00AB128F" w14:paraId="72B38FC9" w14:textId="77777777" w:rsidTr="00AB128F">
        <w:tc>
          <w:tcPr>
            <w:tcW w:w="4675" w:type="dxa"/>
            <w:vAlign w:val="center"/>
          </w:tcPr>
          <w:p w14:paraId="32CD29FD" w14:textId="472C8C98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Band 6</w:t>
            </w:r>
          </w:p>
        </w:tc>
        <w:tc>
          <w:tcPr>
            <w:tcW w:w="4675" w:type="dxa"/>
            <w:vAlign w:val="center"/>
          </w:tcPr>
          <w:p w14:paraId="03D08CBB" w14:textId="147BF277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SWIR1(1.57 to 1.65)</w:t>
            </w:r>
          </w:p>
        </w:tc>
      </w:tr>
      <w:tr w:rsidR="00AB128F" w14:paraId="7A9B8F63" w14:textId="77777777" w:rsidTr="00AB128F">
        <w:tc>
          <w:tcPr>
            <w:tcW w:w="4675" w:type="dxa"/>
            <w:tcBorders>
              <w:bottom w:val="single" w:sz="8" w:space="0" w:color="auto"/>
            </w:tcBorders>
            <w:vAlign w:val="center"/>
          </w:tcPr>
          <w:p w14:paraId="6DA01883" w14:textId="4081C32E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Band 7</w:t>
            </w:r>
          </w:p>
        </w:tc>
        <w:tc>
          <w:tcPr>
            <w:tcW w:w="4675" w:type="dxa"/>
            <w:tcBorders>
              <w:bottom w:val="single" w:sz="8" w:space="0" w:color="auto"/>
            </w:tcBorders>
            <w:vAlign w:val="center"/>
          </w:tcPr>
          <w:p w14:paraId="31D95B97" w14:textId="65971269" w:rsidR="00AB128F" w:rsidRDefault="00AB128F" w:rsidP="001926BB">
            <w:pPr>
              <w:pStyle w:val="LabList"/>
              <w:numPr>
                <w:ilvl w:val="0"/>
                <w:numId w:val="0"/>
              </w:numPr>
              <w:jc w:val="center"/>
            </w:pPr>
            <w:r>
              <w:t>SWIR2 (2.11 to 2.29)</w:t>
            </w:r>
          </w:p>
        </w:tc>
      </w:tr>
    </w:tbl>
    <w:p w14:paraId="27A2AC18" w14:textId="77777777" w:rsidR="004D2A70" w:rsidRDefault="004D2A70" w:rsidP="001926BB">
      <w:pPr>
        <w:pStyle w:val="LabHeader2"/>
        <w:spacing w:line="240" w:lineRule="auto"/>
        <w:contextualSpacing/>
      </w:pPr>
    </w:p>
    <w:p w14:paraId="1F63F462" w14:textId="46651470" w:rsidR="00AB128F" w:rsidRDefault="00AB128F" w:rsidP="001926BB">
      <w:pPr>
        <w:pStyle w:val="LabList"/>
        <w:numPr>
          <w:ilvl w:val="0"/>
          <w:numId w:val="0"/>
        </w:numPr>
        <w:spacing w:line="240" w:lineRule="auto"/>
      </w:pPr>
      <w:r>
        <w:t>Your goal is to estimate burn severity using the normalized burn ratio (NBR) and differenced normalized burn ratio (</w:t>
      </w:r>
      <w:proofErr w:type="spellStart"/>
      <w:r>
        <w:t>dNBR</w:t>
      </w:r>
      <w:proofErr w:type="spellEnd"/>
      <w:r>
        <w:t xml:space="preserve">). NBR is calculated from a single image as follows: </w:t>
      </w:r>
    </w:p>
    <w:p w14:paraId="03D45F1A" w14:textId="3E9544AE" w:rsidR="00AB128F" w:rsidRDefault="00AB128F" w:rsidP="001926BB">
      <w:pPr>
        <w:pStyle w:val="LabList"/>
        <w:numPr>
          <w:ilvl w:val="0"/>
          <w:numId w:val="0"/>
        </w:numPr>
        <w:spacing w:line="240" w:lineRule="auto"/>
        <w:jc w:val="center"/>
        <w:rPr>
          <w:rFonts w:eastAsiaTheme="minorEastAsia"/>
        </w:rPr>
      </w:pPr>
      <w:r>
        <w:rPr>
          <w:rFonts w:eastAsiaTheme="minorEastAsia"/>
        </w:rPr>
        <w:t xml:space="preserve">NBR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NIR-SWIR2</m:t>
            </m:r>
          </m:num>
          <m:den>
            <m:r>
              <w:rPr>
                <w:rFonts w:ascii="Cambria Math" w:hAnsi="Cambria Math"/>
              </w:rPr>
              <m:t>NIR+SWIR2</m:t>
            </m:r>
          </m:den>
        </m:f>
      </m:oMath>
    </w:p>
    <w:p w14:paraId="27248287" w14:textId="77777777" w:rsidR="00AB128F" w:rsidRDefault="00AB128F" w:rsidP="001926BB">
      <w:pPr>
        <w:pStyle w:val="LabList"/>
        <w:numPr>
          <w:ilvl w:val="0"/>
          <w:numId w:val="0"/>
        </w:numPr>
        <w:spacing w:line="240" w:lineRule="auto"/>
        <w:jc w:val="center"/>
        <w:rPr>
          <w:rFonts w:eastAsiaTheme="minorEastAsia"/>
        </w:rPr>
      </w:pPr>
    </w:p>
    <w:p w14:paraId="5A3CB27A" w14:textId="4A5A3157" w:rsidR="00AB128F" w:rsidRDefault="00AB128F" w:rsidP="001926BB">
      <w:pPr>
        <w:pStyle w:val="LabList"/>
        <w:numPr>
          <w:ilvl w:val="0"/>
          <w:numId w:val="0"/>
        </w:numPr>
        <w:spacing w:line="240" w:lineRule="auto"/>
        <w:rPr>
          <w:rFonts w:eastAsiaTheme="minorEastAsia"/>
        </w:rPr>
      </w:pPr>
      <w:r>
        <w:rPr>
          <w:rFonts w:eastAsiaTheme="minorEastAsia"/>
        </w:rPr>
        <w:t>Once NBR has been calculate</w:t>
      </w:r>
      <w:r w:rsidR="00AC76E1">
        <w:rPr>
          <w:rFonts w:eastAsiaTheme="minorEastAsia"/>
        </w:rPr>
        <w:t>d</w:t>
      </w:r>
      <w:r>
        <w:rPr>
          <w:rFonts w:eastAsiaTheme="minorEastAsia"/>
        </w:rPr>
        <w:t xml:space="preserve"> for both a pre- and post-fire image, </w:t>
      </w:r>
      <w:proofErr w:type="spellStart"/>
      <w:r>
        <w:rPr>
          <w:rFonts w:eastAsiaTheme="minorEastAsia"/>
        </w:rPr>
        <w:t>dNBR</w:t>
      </w:r>
      <w:proofErr w:type="spellEnd"/>
      <w:r>
        <w:rPr>
          <w:rFonts w:eastAsiaTheme="minorEastAsia"/>
        </w:rPr>
        <w:t xml:space="preserve"> is calculated as follows: </w:t>
      </w:r>
    </w:p>
    <w:p w14:paraId="4AD09EA3" w14:textId="00E4205A" w:rsidR="00173077" w:rsidRDefault="00AB128F" w:rsidP="001926BB">
      <w:pPr>
        <w:pStyle w:val="LabList"/>
        <w:numPr>
          <w:ilvl w:val="0"/>
          <w:numId w:val="0"/>
        </w:numPr>
        <w:spacing w:line="240" w:lineRule="auto"/>
        <w:jc w:val="center"/>
        <w:rPr>
          <w:rFonts w:eastAsiaTheme="minorEastAsia"/>
          <w:vertAlign w:val="subscript"/>
        </w:rPr>
      </w:pPr>
      <w:proofErr w:type="spellStart"/>
      <w:r>
        <w:rPr>
          <w:rFonts w:eastAsiaTheme="minorEastAsia"/>
        </w:rPr>
        <w:t>dNBR</w:t>
      </w:r>
      <w:proofErr w:type="spellEnd"/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NBR</w:t>
      </w:r>
      <w:r w:rsidRPr="00AB128F">
        <w:rPr>
          <w:rFonts w:eastAsiaTheme="minorEastAsia"/>
          <w:vertAlign w:val="subscript"/>
        </w:rPr>
        <w:t>pre</w:t>
      </w:r>
      <w:proofErr w:type="spellEnd"/>
      <w:r>
        <w:rPr>
          <w:rFonts w:eastAsiaTheme="minorEastAsia"/>
        </w:rPr>
        <w:t xml:space="preserve"> – </w:t>
      </w:r>
      <w:proofErr w:type="spellStart"/>
      <w:r>
        <w:rPr>
          <w:rFonts w:eastAsiaTheme="minorEastAsia"/>
        </w:rPr>
        <w:t>NBR</w:t>
      </w:r>
      <w:r w:rsidRPr="00AB128F">
        <w:rPr>
          <w:rFonts w:eastAsiaTheme="minorEastAsia"/>
          <w:vertAlign w:val="subscript"/>
        </w:rPr>
        <w:t>post</w:t>
      </w:r>
      <w:proofErr w:type="spellEnd"/>
    </w:p>
    <w:p w14:paraId="5A76349E" w14:textId="77777777" w:rsidR="001926BB" w:rsidRDefault="001926BB" w:rsidP="001926BB">
      <w:pPr>
        <w:pStyle w:val="LabList"/>
        <w:numPr>
          <w:ilvl w:val="0"/>
          <w:numId w:val="0"/>
        </w:numPr>
        <w:spacing w:line="240" w:lineRule="auto"/>
        <w:rPr>
          <w:rFonts w:eastAsiaTheme="minorEastAsia"/>
          <w:vertAlign w:val="subscript"/>
        </w:rPr>
      </w:pPr>
    </w:p>
    <w:p w14:paraId="7AC8B2A1" w14:textId="6718C0C4" w:rsidR="001926BB" w:rsidRDefault="001926BB" w:rsidP="001926BB">
      <w:pPr>
        <w:pStyle w:val="LabList"/>
        <w:numPr>
          <w:ilvl w:val="0"/>
          <w:numId w:val="0"/>
        </w:numPr>
        <w:spacing w:line="240" w:lineRule="auto"/>
        <w:rPr>
          <w:rFonts w:eastAsiaTheme="minorEastAsia"/>
        </w:rPr>
      </w:pPr>
      <w:r>
        <w:rPr>
          <w:rFonts w:eastAsiaTheme="minorEastAsia"/>
        </w:rPr>
        <w:t xml:space="preserve">Once </w:t>
      </w:r>
      <w:proofErr w:type="spellStart"/>
      <w:r>
        <w:rPr>
          <w:rFonts w:eastAsiaTheme="minorEastAsia"/>
        </w:rPr>
        <w:t>dNBR</w:t>
      </w:r>
      <w:proofErr w:type="spellEnd"/>
      <w:r>
        <w:rPr>
          <w:rFonts w:eastAsiaTheme="minorEastAsia"/>
        </w:rPr>
        <w:t xml:space="preserve"> is calculated, you will categorize the result into varying levels of burn severity using the values in Table 2.</w:t>
      </w:r>
    </w:p>
    <w:p w14:paraId="395146E8" w14:textId="77777777" w:rsidR="001926BB" w:rsidRDefault="001926BB" w:rsidP="001926BB">
      <w:pPr>
        <w:pStyle w:val="LabList"/>
        <w:numPr>
          <w:ilvl w:val="0"/>
          <w:numId w:val="0"/>
        </w:numPr>
        <w:spacing w:line="240" w:lineRule="auto"/>
        <w:rPr>
          <w:rFonts w:eastAsiaTheme="minorEastAsia"/>
        </w:rPr>
      </w:pPr>
    </w:p>
    <w:p w14:paraId="46222C06" w14:textId="3E59EC2F" w:rsidR="001926BB" w:rsidRPr="001926BB" w:rsidRDefault="001926BB" w:rsidP="001926BB">
      <w:pPr>
        <w:pStyle w:val="LabList"/>
        <w:numPr>
          <w:ilvl w:val="0"/>
          <w:numId w:val="0"/>
        </w:numPr>
        <w:spacing w:line="240" w:lineRule="auto"/>
        <w:rPr>
          <w:rFonts w:eastAsiaTheme="minorEastAsia"/>
        </w:rPr>
      </w:pPr>
      <w:r w:rsidRPr="001926BB">
        <w:rPr>
          <w:rFonts w:eastAsiaTheme="minorEastAsia"/>
          <w:b/>
          <w:bCs/>
        </w:rPr>
        <w:t xml:space="preserve">Table </w:t>
      </w:r>
      <w:r>
        <w:rPr>
          <w:rFonts w:eastAsiaTheme="minorEastAsia"/>
          <w:b/>
          <w:bCs/>
        </w:rPr>
        <w:t>2</w:t>
      </w:r>
      <w:r w:rsidRPr="001926BB">
        <w:rPr>
          <w:rFonts w:eastAsiaTheme="minorEastAsia"/>
          <w:b/>
          <w:bCs/>
        </w:rPr>
        <w:t>.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dNBR</w:t>
      </w:r>
      <w:proofErr w:type="spellEnd"/>
      <w:r>
        <w:rPr>
          <w:rFonts w:eastAsiaTheme="minorEastAsia"/>
        </w:rPr>
        <w:t xml:space="preserve"> value reclassification. </w:t>
      </w:r>
    </w:p>
    <w:tbl>
      <w:tblPr>
        <w:tblStyle w:val="TableGrid"/>
        <w:tblW w:w="519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90"/>
        <w:gridCol w:w="2900"/>
      </w:tblGrid>
      <w:tr w:rsidR="001926BB" w:rsidRPr="00342940" w14:paraId="7FBB3436" w14:textId="77777777" w:rsidTr="001926BB">
        <w:trPr>
          <w:trHeight w:val="473"/>
          <w:jc w:val="center"/>
        </w:trPr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DBB35CC" w14:textId="0479F59D" w:rsidR="001926BB" w:rsidRPr="00AC76E1" w:rsidRDefault="001926BB" w:rsidP="001926BB">
            <w:pPr>
              <w:pStyle w:val="LabText"/>
              <w:contextualSpacing/>
              <w:jc w:val="center"/>
              <w:rPr>
                <w:b/>
                <w:bCs/>
              </w:rPr>
            </w:pPr>
            <w:r w:rsidRPr="00AC76E1">
              <w:rPr>
                <w:b/>
                <w:bCs/>
              </w:rPr>
              <w:t>Category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320B8A08" w14:textId="0A1FB46B" w:rsidR="001926BB" w:rsidRPr="00AC76E1" w:rsidRDefault="001926BB" w:rsidP="001926BB">
            <w:pPr>
              <w:pStyle w:val="LabText"/>
              <w:contextualSpacing/>
              <w:jc w:val="center"/>
              <w:rPr>
                <w:b/>
                <w:bCs/>
              </w:rPr>
            </w:pPr>
            <w:r w:rsidRPr="00AC76E1">
              <w:rPr>
                <w:b/>
                <w:bCs/>
              </w:rPr>
              <w:t xml:space="preserve">Range of </w:t>
            </w:r>
            <w:proofErr w:type="spellStart"/>
            <w:r w:rsidRPr="00AC76E1">
              <w:rPr>
                <w:b/>
                <w:bCs/>
              </w:rPr>
              <w:t>dNBR</w:t>
            </w:r>
            <w:proofErr w:type="spellEnd"/>
            <w:r w:rsidRPr="00AC76E1">
              <w:rPr>
                <w:b/>
                <w:bCs/>
              </w:rPr>
              <w:t xml:space="preserve"> Values</w:t>
            </w:r>
          </w:p>
        </w:tc>
      </w:tr>
      <w:tr w:rsidR="001926BB" w:rsidRPr="00342940" w14:paraId="2DA6E19A" w14:textId="77777777" w:rsidTr="001926BB">
        <w:trPr>
          <w:trHeight w:val="473"/>
          <w:jc w:val="center"/>
        </w:trPr>
        <w:tc>
          <w:tcPr>
            <w:tcW w:w="0" w:type="auto"/>
            <w:tcBorders>
              <w:top w:val="single" w:sz="4" w:space="0" w:color="auto"/>
            </w:tcBorders>
            <w:vAlign w:val="center"/>
            <w:hideMark/>
          </w:tcPr>
          <w:p w14:paraId="29EA2EFF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 w:rsidRPr="00342940">
              <w:t>Unburned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  <w:hideMark/>
          </w:tcPr>
          <w:p w14:paraId="1819B7A5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>
              <w:t>&lt;</w:t>
            </w:r>
            <w:r w:rsidRPr="00342940">
              <w:t xml:space="preserve"> +.1</w:t>
            </w:r>
          </w:p>
        </w:tc>
      </w:tr>
      <w:tr w:rsidR="001926BB" w:rsidRPr="00342940" w14:paraId="0813DB64" w14:textId="77777777" w:rsidTr="00A12A57">
        <w:trPr>
          <w:trHeight w:val="287"/>
          <w:jc w:val="center"/>
        </w:trPr>
        <w:tc>
          <w:tcPr>
            <w:tcW w:w="0" w:type="auto"/>
            <w:vAlign w:val="center"/>
            <w:hideMark/>
          </w:tcPr>
          <w:p w14:paraId="76298E4F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 w:rsidRPr="00342940">
              <w:t>Low Severity</w:t>
            </w:r>
          </w:p>
        </w:tc>
        <w:tc>
          <w:tcPr>
            <w:tcW w:w="0" w:type="auto"/>
            <w:vAlign w:val="center"/>
            <w:hideMark/>
          </w:tcPr>
          <w:p w14:paraId="334563D6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 w:rsidRPr="00342940">
              <w:t>+.1 to +.27</w:t>
            </w:r>
          </w:p>
        </w:tc>
      </w:tr>
      <w:tr w:rsidR="001926BB" w:rsidRPr="00342940" w14:paraId="07C5FD20" w14:textId="77777777" w:rsidTr="00AC76E1">
        <w:trPr>
          <w:trHeight w:val="467"/>
          <w:jc w:val="center"/>
        </w:trPr>
        <w:tc>
          <w:tcPr>
            <w:tcW w:w="0" w:type="auto"/>
            <w:vAlign w:val="center"/>
            <w:hideMark/>
          </w:tcPr>
          <w:p w14:paraId="7CD44C36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 w:rsidRPr="00342940">
              <w:t>Moderate Severity</w:t>
            </w:r>
          </w:p>
        </w:tc>
        <w:tc>
          <w:tcPr>
            <w:tcW w:w="0" w:type="auto"/>
            <w:vAlign w:val="center"/>
            <w:hideMark/>
          </w:tcPr>
          <w:p w14:paraId="777CBF5B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 w:rsidRPr="00342940">
              <w:t>+.27 to +.66</w:t>
            </w:r>
          </w:p>
        </w:tc>
      </w:tr>
      <w:tr w:rsidR="001926BB" w:rsidRPr="00342940" w14:paraId="5B10E410" w14:textId="77777777" w:rsidTr="00AC76E1">
        <w:trPr>
          <w:trHeight w:val="480"/>
          <w:jc w:val="center"/>
        </w:trPr>
        <w:tc>
          <w:tcPr>
            <w:tcW w:w="0" w:type="auto"/>
            <w:tcBorders>
              <w:bottom w:val="single" w:sz="8" w:space="0" w:color="auto"/>
            </w:tcBorders>
            <w:vAlign w:val="center"/>
            <w:hideMark/>
          </w:tcPr>
          <w:p w14:paraId="518C59DD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 w:rsidRPr="00342940">
              <w:t>High Severity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  <w:hideMark/>
          </w:tcPr>
          <w:p w14:paraId="106057B1" w14:textId="77777777" w:rsidR="001926BB" w:rsidRPr="00342940" w:rsidRDefault="001926BB" w:rsidP="001926BB">
            <w:pPr>
              <w:pStyle w:val="LabText"/>
              <w:contextualSpacing/>
              <w:jc w:val="center"/>
            </w:pPr>
            <w:r w:rsidRPr="00342940">
              <w:t>&gt; .66</w:t>
            </w:r>
          </w:p>
        </w:tc>
      </w:tr>
    </w:tbl>
    <w:p w14:paraId="1C234725" w14:textId="77777777" w:rsidR="001926BB" w:rsidRDefault="001926BB" w:rsidP="001926BB">
      <w:pPr>
        <w:pStyle w:val="LabHeader2"/>
        <w:spacing w:line="240" w:lineRule="auto"/>
        <w:contextualSpacing/>
      </w:pPr>
    </w:p>
    <w:p w14:paraId="455E28CC" w14:textId="77777777" w:rsidR="001926BB" w:rsidRDefault="001926BB" w:rsidP="001926BB">
      <w:pPr>
        <w:pStyle w:val="LabHeader2"/>
        <w:spacing w:line="240" w:lineRule="auto"/>
        <w:contextualSpacing/>
      </w:pPr>
    </w:p>
    <w:p w14:paraId="3E993F96" w14:textId="77777777" w:rsidR="001926BB" w:rsidRDefault="001926BB" w:rsidP="001926BB">
      <w:pPr>
        <w:pStyle w:val="LabHeader2"/>
        <w:spacing w:line="240" w:lineRule="auto"/>
        <w:contextualSpacing/>
      </w:pPr>
    </w:p>
    <w:p w14:paraId="015BFC9F" w14:textId="77777777" w:rsidR="001926BB" w:rsidRDefault="001926BB" w:rsidP="001926BB">
      <w:pPr>
        <w:pStyle w:val="LabHeader2"/>
        <w:spacing w:line="240" w:lineRule="auto"/>
        <w:contextualSpacing/>
      </w:pPr>
    </w:p>
    <w:p w14:paraId="63140C89" w14:textId="77777777" w:rsidR="001926BB" w:rsidRDefault="001926BB" w:rsidP="001926BB">
      <w:pPr>
        <w:pStyle w:val="LabHeader2"/>
        <w:spacing w:line="240" w:lineRule="auto"/>
        <w:contextualSpacing/>
      </w:pPr>
    </w:p>
    <w:p w14:paraId="5C5F854D" w14:textId="6806E43F" w:rsidR="00AC0A33" w:rsidRDefault="00AC0A33" w:rsidP="001926BB">
      <w:pPr>
        <w:pStyle w:val="LabHeader2"/>
        <w:spacing w:line="240" w:lineRule="auto"/>
        <w:contextualSpacing/>
        <w:rPr>
          <w:b w:val="0"/>
          <w:bCs w:val="0"/>
          <w:color w:val="auto"/>
        </w:rPr>
      </w:pPr>
      <w:r w:rsidRPr="00AC0A33">
        <w:rPr>
          <w:b w:val="0"/>
          <w:bCs w:val="0"/>
          <w:color w:val="auto"/>
        </w:rPr>
        <w:t>Figure 2</w:t>
      </w:r>
      <w:r>
        <w:rPr>
          <w:b w:val="0"/>
          <w:bCs w:val="0"/>
          <w:color w:val="auto"/>
        </w:rPr>
        <w:t xml:space="preserve"> compares the spectral curves for burned and unburned areas through the visible, near infrared (NIR), and shortwave </w:t>
      </w:r>
      <w:r w:rsidR="00986CCC">
        <w:rPr>
          <w:b w:val="0"/>
          <w:bCs w:val="0"/>
          <w:color w:val="auto"/>
        </w:rPr>
        <w:t>infrared</w:t>
      </w:r>
      <w:r>
        <w:rPr>
          <w:b w:val="0"/>
          <w:bCs w:val="0"/>
          <w:color w:val="auto"/>
        </w:rPr>
        <w:t xml:space="preserve"> (SWIR) </w:t>
      </w:r>
      <w:r w:rsidR="00986CCC">
        <w:rPr>
          <w:b w:val="0"/>
          <w:bCs w:val="0"/>
          <w:color w:val="auto"/>
        </w:rPr>
        <w:t xml:space="preserve">spectral </w:t>
      </w:r>
      <w:r>
        <w:rPr>
          <w:b w:val="0"/>
          <w:bCs w:val="0"/>
          <w:color w:val="auto"/>
        </w:rPr>
        <w:t xml:space="preserve">ranges. </w:t>
      </w:r>
    </w:p>
    <w:p w14:paraId="53ADED58" w14:textId="77777777" w:rsidR="00AC0A33" w:rsidRDefault="00AC0A33" w:rsidP="001926BB">
      <w:pPr>
        <w:pStyle w:val="LabHeader2"/>
        <w:spacing w:line="240" w:lineRule="auto"/>
        <w:contextualSpacing/>
        <w:rPr>
          <w:b w:val="0"/>
          <w:bCs w:val="0"/>
          <w:color w:val="auto"/>
        </w:rPr>
      </w:pPr>
    </w:p>
    <w:p w14:paraId="77499CF9" w14:textId="5E17E162" w:rsidR="00AC0A33" w:rsidRDefault="00AC0A33" w:rsidP="00AC0A33">
      <w:pPr>
        <w:pStyle w:val="LabHeader2"/>
        <w:spacing w:line="240" w:lineRule="auto"/>
        <w:contextualSpacing/>
        <w:jc w:val="center"/>
        <w:rPr>
          <w:b w:val="0"/>
          <w:bCs w:val="0"/>
          <w:color w:val="auto"/>
        </w:rPr>
      </w:pPr>
      <w:r>
        <w:rPr>
          <w:noProof/>
        </w:rPr>
        <w:drawing>
          <wp:inline distT="0" distB="0" distL="0" distR="0" wp14:anchorId="552E6037" wp14:editId="00F9B21A">
            <wp:extent cx="4762500" cy="2362200"/>
            <wp:effectExtent l="0" t="0" r="0" b="0"/>
            <wp:docPr id="277836057" name="Picture 277836057" descr="A graph of a wavefor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36057" name="Picture 277836057" descr="A graph of a wavefor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DF464" w14:textId="5798A687" w:rsidR="00AC0A33" w:rsidRDefault="00AC0A33" w:rsidP="00AC0A33">
      <w:pPr>
        <w:pStyle w:val="LabHeader2"/>
        <w:spacing w:line="240" w:lineRule="auto"/>
        <w:contextualSpacing/>
        <w:rPr>
          <w:b w:val="0"/>
          <w:bCs w:val="0"/>
          <w:color w:val="auto"/>
        </w:rPr>
      </w:pPr>
      <w:r w:rsidRPr="00AC0A33">
        <w:rPr>
          <w:color w:val="auto"/>
        </w:rPr>
        <w:t xml:space="preserve">Figure </w:t>
      </w:r>
      <w:r w:rsidR="00AC76E1">
        <w:rPr>
          <w:color w:val="auto"/>
        </w:rPr>
        <w:t>2</w:t>
      </w:r>
      <w:r w:rsidRPr="00AC0A33">
        <w:rPr>
          <w:color w:val="auto"/>
        </w:rPr>
        <w:t>.</w:t>
      </w:r>
      <w:r>
        <w:rPr>
          <w:b w:val="0"/>
          <w:bCs w:val="0"/>
          <w:color w:val="auto"/>
        </w:rPr>
        <w:t xml:space="preserve"> Spectral curve for burned and healthy vegetation. Source: </w:t>
      </w:r>
      <w:hyperlink r:id="rId11" w:history="1">
        <w:r w:rsidRPr="00FB2ABD">
          <w:rPr>
            <w:rStyle w:val="Hyperlink"/>
            <w:b w:val="0"/>
            <w:bCs w:val="0"/>
          </w:rPr>
          <w:t>https://www.earthdatascience.org/courses/earth-analytics/multispectral-remote-sensing-modis/normalized-burn-index-dNBR/</w:t>
        </w:r>
      </w:hyperlink>
      <w:r>
        <w:rPr>
          <w:b w:val="0"/>
          <w:bCs w:val="0"/>
          <w:color w:val="auto"/>
        </w:rPr>
        <w:t>; US Forest Service</w:t>
      </w:r>
    </w:p>
    <w:p w14:paraId="68B47AEA" w14:textId="77777777" w:rsidR="00AC0A33" w:rsidRDefault="00AC0A33" w:rsidP="00AC0A33">
      <w:pPr>
        <w:pStyle w:val="LabHeader2"/>
        <w:spacing w:line="240" w:lineRule="auto"/>
        <w:contextualSpacing/>
        <w:rPr>
          <w:b w:val="0"/>
          <w:bCs w:val="0"/>
          <w:color w:val="auto"/>
        </w:rPr>
      </w:pPr>
    </w:p>
    <w:p w14:paraId="12959CD1" w14:textId="3E8A1651" w:rsidR="00AC0A33" w:rsidRPr="00AC0A33" w:rsidRDefault="00AC0A33" w:rsidP="00AC0A33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986CCC">
        <w:rPr>
          <w:color w:val="C00000"/>
        </w:rPr>
        <w:t xml:space="preserve">Discussion Point </w:t>
      </w:r>
      <w:r w:rsidRPr="00986CCC">
        <w:rPr>
          <w:color w:val="C00000"/>
        </w:rPr>
        <w:t>1</w:t>
      </w:r>
      <w:r w:rsidRPr="00986CCC">
        <w:rPr>
          <w:color w:val="C00000"/>
        </w:rPr>
        <w:t>:</w:t>
      </w:r>
      <w:r w:rsidRPr="00712492">
        <w:rPr>
          <w:b w:val="0"/>
          <w:bCs w:val="0"/>
          <w:color w:val="C00000"/>
        </w:rPr>
        <w:t xml:space="preserve"> </w:t>
      </w:r>
      <w:r>
        <w:rPr>
          <w:b w:val="0"/>
          <w:bCs w:val="0"/>
          <w:color w:val="C00000"/>
        </w:rPr>
        <w:t>Why are the NIR and SWIR ranges useful for differentiating burned areas and healthy vegetation</w:t>
      </w:r>
      <w:r w:rsidR="00986CCC">
        <w:rPr>
          <w:b w:val="0"/>
          <w:bCs w:val="0"/>
          <w:color w:val="C00000"/>
        </w:rPr>
        <w:t>?</w:t>
      </w:r>
    </w:p>
    <w:p w14:paraId="5A087E78" w14:textId="77777777" w:rsidR="00AC0A33" w:rsidRDefault="00AC0A33" w:rsidP="001926BB">
      <w:pPr>
        <w:pStyle w:val="LabHeader2"/>
        <w:spacing w:line="240" w:lineRule="auto"/>
        <w:contextualSpacing/>
      </w:pPr>
    </w:p>
    <w:p w14:paraId="5BACEC96" w14:textId="39FDD606" w:rsidR="001926BB" w:rsidRDefault="001926BB" w:rsidP="001926BB">
      <w:pPr>
        <w:pStyle w:val="LabHeader2"/>
        <w:spacing w:line="240" w:lineRule="auto"/>
        <w:contextualSpacing/>
      </w:pPr>
      <w:r>
        <w:t>Analysis</w:t>
      </w:r>
    </w:p>
    <w:p w14:paraId="45615BA5" w14:textId="5B9E1CE2" w:rsidR="001926BB" w:rsidRDefault="001926BB" w:rsidP="001926BB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>Log into the computer using the following account information:</w:t>
      </w:r>
    </w:p>
    <w:p w14:paraId="782EE5B4" w14:textId="7DB90392" w:rsidR="001926BB" w:rsidRDefault="001926BB" w:rsidP="001926BB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 xml:space="preserve">Username: </w:t>
      </w:r>
      <w:proofErr w:type="spellStart"/>
      <w:r>
        <w:rPr>
          <w:b w:val="0"/>
          <w:bCs w:val="0"/>
          <w:color w:val="000000" w:themeColor="text1"/>
        </w:rPr>
        <w:t>GnGDevCourse</w:t>
      </w:r>
      <w:proofErr w:type="spellEnd"/>
    </w:p>
    <w:p w14:paraId="305160DF" w14:textId="583B3C76" w:rsidR="001926BB" w:rsidRDefault="001926BB" w:rsidP="001926BB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>Password: Summer2024!</w:t>
      </w:r>
    </w:p>
    <w:p w14:paraId="27A68074" w14:textId="08B5578A" w:rsidR="00173077" w:rsidRDefault="001926BB" w:rsidP="004E3FB7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 w:rsidRPr="001926BB">
        <w:drawing>
          <wp:anchor distT="0" distB="0" distL="114300" distR="114300" simplePos="0" relativeHeight="251667456" behindDoc="0" locked="0" layoutInCell="1" allowOverlap="1" wp14:anchorId="22D5682D" wp14:editId="44B8A4A5">
            <wp:simplePos x="0" y="0"/>
            <wp:positionH relativeFrom="column">
              <wp:posOffset>4356100</wp:posOffset>
            </wp:positionH>
            <wp:positionV relativeFrom="paragraph">
              <wp:posOffset>193675</wp:posOffset>
            </wp:positionV>
            <wp:extent cx="1200212" cy="311166"/>
            <wp:effectExtent l="0" t="0" r="0" b="0"/>
            <wp:wrapSquare wrapText="bothSides"/>
            <wp:docPr id="9055292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529202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212" cy="311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bCs w:val="0"/>
          <w:color w:val="000000" w:themeColor="text1"/>
        </w:rPr>
        <w:t>A folder titled “</w:t>
      </w:r>
      <w:proofErr w:type="spellStart"/>
      <w:r>
        <w:rPr>
          <w:b w:val="0"/>
          <w:bCs w:val="0"/>
          <w:color w:val="000000" w:themeColor="text1"/>
        </w:rPr>
        <w:t>burnSeverity</w:t>
      </w:r>
      <w:proofErr w:type="spellEnd"/>
      <w:r>
        <w:rPr>
          <w:b w:val="0"/>
          <w:bCs w:val="0"/>
          <w:color w:val="000000" w:themeColor="text1"/>
        </w:rPr>
        <w:t>” has been placed on the desktop. Open the folder and double-click the MyProject44.aprx file. This will launch the ArcGIS Pro software. The software</w:t>
      </w:r>
      <w:r w:rsidR="00986CCC">
        <w:rPr>
          <w:b w:val="0"/>
          <w:bCs w:val="0"/>
          <w:color w:val="000000" w:themeColor="text1"/>
        </w:rPr>
        <w:t xml:space="preserve"> state</w:t>
      </w:r>
      <w:r>
        <w:rPr>
          <w:b w:val="0"/>
          <w:bCs w:val="0"/>
          <w:color w:val="000000" w:themeColor="text1"/>
        </w:rPr>
        <w:t xml:space="preserve"> should look like the screen capture provided below. </w:t>
      </w:r>
    </w:p>
    <w:p w14:paraId="5D4E3E96" w14:textId="77777777" w:rsidR="001926BB" w:rsidRDefault="001926BB" w:rsidP="001926BB">
      <w:pPr>
        <w:pStyle w:val="LabHeader2"/>
        <w:spacing w:line="240" w:lineRule="auto"/>
        <w:ind w:left="360"/>
        <w:contextualSpacing/>
        <w:rPr>
          <w:b w:val="0"/>
          <w:bCs w:val="0"/>
          <w:color w:val="000000" w:themeColor="text1"/>
        </w:rPr>
      </w:pPr>
    </w:p>
    <w:p w14:paraId="00929E6A" w14:textId="6BB29EA4" w:rsidR="001926BB" w:rsidRDefault="00D57BEF" w:rsidP="001926BB">
      <w:pPr>
        <w:pStyle w:val="LabHeader2"/>
        <w:spacing w:line="240" w:lineRule="auto"/>
        <w:ind w:left="360"/>
        <w:contextualSpacing/>
        <w:rPr>
          <w:b w:val="0"/>
          <w:bCs w:val="0"/>
          <w:color w:val="000000" w:themeColor="text1"/>
        </w:rPr>
      </w:pPr>
      <w:r w:rsidRPr="00D57BEF">
        <w:rPr>
          <w:b w:val="0"/>
          <w:bCs w:val="0"/>
          <w:color w:val="000000" w:themeColor="text1"/>
        </w:rPr>
        <w:lastRenderedPageBreak/>
        <w:drawing>
          <wp:inline distT="0" distB="0" distL="0" distR="0" wp14:anchorId="3E7CEACC" wp14:editId="032AA53F">
            <wp:extent cx="5943600" cy="3221990"/>
            <wp:effectExtent l="0" t="0" r="0" b="0"/>
            <wp:docPr id="12840199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01996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2E4E0" w14:textId="77777777" w:rsidR="001926BB" w:rsidRDefault="001926BB" w:rsidP="001926BB">
      <w:pPr>
        <w:pStyle w:val="LabHeader2"/>
        <w:spacing w:line="240" w:lineRule="auto"/>
        <w:ind w:left="360"/>
        <w:contextualSpacing/>
        <w:rPr>
          <w:b w:val="0"/>
          <w:bCs w:val="0"/>
          <w:color w:val="000000" w:themeColor="text1"/>
        </w:rPr>
      </w:pPr>
    </w:p>
    <w:p w14:paraId="477D6908" w14:textId="612F15CD" w:rsidR="001926BB" w:rsidRDefault="00712492" w:rsidP="001926BB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 xml:space="preserve">The imagery is currently displayed as follows: the red </w:t>
      </w:r>
      <w:r w:rsidR="00986CCC">
        <w:rPr>
          <w:b w:val="0"/>
          <w:bCs w:val="0"/>
          <w:color w:val="000000" w:themeColor="text1"/>
        </w:rPr>
        <w:t>band</w:t>
      </w:r>
      <w:r>
        <w:rPr>
          <w:b w:val="0"/>
          <w:bCs w:val="0"/>
          <w:color w:val="000000" w:themeColor="text1"/>
        </w:rPr>
        <w:t xml:space="preserve"> is mapped to </w:t>
      </w:r>
      <w:r w:rsidR="00986CCC">
        <w:rPr>
          <w:b w:val="0"/>
          <w:bCs w:val="0"/>
          <w:color w:val="000000" w:themeColor="text1"/>
        </w:rPr>
        <w:t xml:space="preserve">the </w:t>
      </w:r>
      <w:r>
        <w:rPr>
          <w:b w:val="0"/>
          <w:bCs w:val="0"/>
          <w:color w:val="000000" w:themeColor="text1"/>
        </w:rPr>
        <w:t>red</w:t>
      </w:r>
      <w:r w:rsidR="00986CCC">
        <w:rPr>
          <w:b w:val="0"/>
          <w:bCs w:val="0"/>
          <w:color w:val="000000" w:themeColor="text1"/>
        </w:rPr>
        <w:t xml:space="preserve"> channel</w:t>
      </w:r>
      <w:r>
        <w:rPr>
          <w:b w:val="0"/>
          <w:bCs w:val="0"/>
          <w:color w:val="000000" w:themeColor="text1"/>
        </w:rPr>
        <w:t xml:space="preserve">, the green </w:t>
      </w:r>
      <w:r w:rsidR="00986CCC">
        <w:rPr>
          <w:b w:val="0"/>
          <w:bCs w:val="0"/>
          <w:color w:val="000000" w:themeColor="text1"/>
        </w:rPr>
        <w:t xml:space="preserve">band </w:t>
      </w:r>
      <w:r>
        <w:rPr>
          <w:b w:val="0"/>
          <w:bCs w:val="0"/>
          <w:color w:val="000000" w:themeColor="text1"/>
        </w:rPr>
        <w:t xml:space="preserve">is mapped to </w:t>
      </w:r>
      <w:r w:rsidR="00986CCC">
        <w:rPr>
          <w:b w:val="0"/>
          <w:bCs w:val="0"/>
          <w:color w:val="000000" w:themeColor="text1"/>
        </w:rPr>
        <w:t xml:space="preserve">the </w:t>
      </w:r>
      <w:r>
        <w:rPr>
          <w:b w:val="0"/>
          <w:bCs w:val="0"/>
          <w:color w:val="000000" w:themeColor="text1"/>
        </w:rPr>
        <w:t>green</w:t>
      </w:r>
      <w:r w:rsidR="00986CCC">
        <w:rPr>
          <w:b w:val="0"/>
          <w:bCs w:val="0"/>
          <w:color w:val="000000" w:themeColor="text1"/>
        </w:rPr>
        <w:t xml:space="preserve"> channel</w:t>
      </w:r>
      <w:r>
        <w:rPr>
          <w:b w:val="0"/>
          <w:bCs w:val="0"/>
          <w:color w:val="000000" w:themeColor="text1"/>
        </w:rPr>
        <w:t xml:space="preserve">, and the blue </w:t>
      </w:r>
      <w:r w:rsidR="00986CCC">
        <w:rPr>
          <w:b w:val="0"/>
          <w:bCs w:val="0"/>
          <w:color w:val="000000" w:themeColor="text1"/>
        </w:rPr>
        <w:t xml:space="preserve">band </w:t>
      </w:r>
      <w:r>
        <w:rPr>
          <w:b w:val="0"/>
          <w:bCs w:val="0"/>
          <w:color w:val="000000" w:themeColor="text1"/>
        </w:rPr>
        <w:t xml:space="preserve">is mapped to </w:t>
      </w:r>
      <w:r w:rsidR="00986CCC">
        <w:rPr>
          <w:b w:val="0"/>
          <w:bCs w:val="0"/>
          <w:color w:val="000000" w:themeColor="text1"/>
        </w:rPr>
        <w:t xml:space="preserve">the </w:t>
      </w:r>
      <w:r>
        <w:rPr>
          <w:b w:val="0"/>
          <w:bCs w:val="0"/>
          <w:color w:val="000000" w:themeColor="text1"/>
        </w:rPr>
        <w:t>blue</w:t>
      </w:r>
      <w:r w:rsidR="00986CCC">
        <w:rPr>
          <w:b w:val="0"/>
          <w:bCs w:val="0"/>
          <w:color w:val="000000" w:themeColor="text1"/>
        </w:rPr>
        <w:t xml:space="preserve"> channel</w:t>
      </w:r>
      <w:r>
        <w:rPr>
          <w:b w:val="0"/>
          <w:bCs w:val="0"/>
          <w:color w:val="000000" w:themeColor="text1"/>
        </w:rPr>
        <w:t xml:space="preserve">. This is termed as simulated true color image and mimics our perception of color. </w:t>
      </w:r>
      <w:r w:rsidR="001926BB">
        <w:rPr>
          <w:b w:val="0"/>
          <w:bCs w:val="0"/>
          <w:color w:val="000000" w:themeColor="text1"/>
        </w:rPr>
        <w:t>Toggle between the two image</w:t>
      </w:r>
      <w:r>
        <w:rPr>
          <w:b w:val="0"/>
          <w:bCs w:val="0"/>
          <w:color w:val="000000" w:themeColor="text1"/>
        </w:rPr>
        <w:t>s</w:t>
      </w:r>
      <w:r w:rsidR="001926BB">
        <w:rPr>
          <w:b w:val="0"/>
          <w:bCs w:val="0"/>
          <w:color w:val="000000" w:themeColor="text1"/>
        </w:rPr>
        <w:t xml:space="preserve"> to see if you can locate the fire</w:t>
      </w:r>
      <w:r>
        <w:rPr>
          <w:b w:val="0"/>
          <w:bCs w:val="0"/>
          <w:color w:val="000000" w:themeColor="text1"/>
        </w:rPr>
        <w:t xml:space="preserve"> extent</w:t>
      </w:r>
      <w:r w:rsidR="001926BB">
        <w:rPr>
          <w:b w:val="0"/>
          <w:bCs w:val="0"/>
          <w:color w:val="000000" w:themeColor="text1"/>
        </w:rPr>
        <w:t xml:space="preserve"> base</w:t>
      </w:r>
      <w:r>
        <w:rPr>
          <w:b w:val="0"/>
          <w:bCs w:val="0"/>
          <w:color w:val="000000" w:themeColor="text1"/>
        </w:rPr>
        <w:t>d</w:t>
      </w:r>
      <w:r w:rsidR="001926BB">
        <w:rPr>
          <w:b w:val="0"/>
          <w:bCs w:val="0"/>
          <w:color w:val="000000" w:themeColor="text1"/>
        </w:rPr>
        <w:t xml:space="preserve"> on changes in the imagery between the two dates. This can be accomplished by clicking on the check box next to the </w:t>
      </w:r>
      <w:r w:rsidR="00986CCC">
        <w:rPr>
          <w:b w:val="0"/>
          <w:bCs w:val="0"/>
          <w:color w:val="000000" w:themeColor="text1"/>
        </w:rPr>
        <w:t>layer</w:t>
      </w:r>
      <w:r w:rsidR="001926BB">
        <w:rPr>
          <w:b w:val="0"/>
          <w:bCs w:val="0"/>
          <w:color w:val="000000" w:themeColor="text1"/>
        </w:rPr>
        <w:t xml:space="preserve"> name in the Contents Pane. </w:t>
      </w:r>
    </w:p>
    <w:p w14:paraId="0F7BFCAD" w14:textId="77777777" w:rsidR="00712492" w:rsidRDefault="00712492" w:rsidP="00712492">
      <w:pPr>
        <w:pStyle w:val="LabHeader2"/>
        <w:spacing w:line="240" w:lineRule="auto"/>
        <w:ind w:left="360"/>
        <w:contextualSpacing/>
        <w:rPr>
          <w:b w:val="0"/>
          <w:bCs w:val="0"/>
          <w:color w:val="C00000"/>
        </w:rPr>
      </w:pPr>
    </w:p>
    <w:p w14:paraId="1C9AFA96" w14:textId="2B59F5E2" w:rsidR="00712492" w:rsidRDefault="00712492" w:rsidP="00FB6B33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986CCC">
        <w:rPr>
          <w:color w:val="C00000"/>
        </w:rPr>
        <w:t xml:space="preserve">Discussion Point </w:t>
      </w:r>
      <w:r w:rsidR="00AC0A33" w:rsidRPr="00986CCC">
        <w:rPr>
          <w:color w:val="C00000"/>
        </w:rPr>
        <w:t>2</w:t>
      </w:r>
      <w:r w:rsidRPr="00986CCC">
        <w:rPr>
          <w:color w:val="C00000"/>
        </w:rPr>
        <w:t>:</w:t>
      </w:r>
      <w:r w:rsidRPr="00712492">
        <w:rPr>
          <w:b w:val="0"/>
          <w:bCs w:val="0"/>
          <w:color w:val="C00000"/>
        </w:rPr>
        <w:t xml:space="preserve"> How easy is it to see the extent of the fire using this band combination?</w:t>
      </w:r>
    </w:p>
    <w:p w14:paraId="6A7CAFDB" w14:textId="77777777" w:rsidR="00712492" w:rsidRPr="00712492" w:rsidRDefault="00712492" w:rsidP="00712492">
      <w:pPr>
        <w:pStyle w:val="LabHeader2"/>
        <w:spacing w:line="240" w:lineRule="auto"/>
        <w:ind w:left="360"/>
        <w:contextualSpacing/>
        <w:rPr>
          <w:b w:val="0"/>
          <w:bCs w:val="0"/>
          <w:color w:val="C00000"/>
        </w:rPr>
      </w:pPr>
    </w:p>
    <w:p w14:paraId="78C35AC0" w14:textId="66644930" w:rsidR="00712492" w:rsidRDefault="00712492" w:rsidP="001926BB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>Change the displayed band combinations as follows (repeat this process for both images)</w:t>
      </w:r>
      <w:r w:rsidR="00986CCC">
        <w:rPr>
          <w:b w:val="0"/>
          <w:bCs w:val="0"/>
          <w:color w:val="000000" w:themeColor="text1"/>
        </w:rPr>
        <w:t>.</w:t>
      </w:r>
    </w:p>
    <w:p w14:paraId="07AA0A71" w14:textId="2503F451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>Make sure one of the images is selected in the Contents Pane.</w:t>
      </w:r>
    </w:p>
    <w:p w14:paraId="2C6288A2" w14:textId="7640BDB9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 xml:space="preserve">Navigate to the Raster Layer tab. </w:t>
      </w:r>
    </w:p>
    <w:p w14:paraId="28992BE6" w14:textId="73B1E2BF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>Select Band Combinations followed by Custom.</w:t>
      </w:r>
    </w:p>
    <w:p w14:paraId="6F2CE9ED" w14:textId="01B33A54" w:rsidR="00712492" w:rsidRPr="001926BB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 xml:space="preserve">Change the band combinations to match the example below. The SWIR2 </w:t>
      </w:r>
      <w:r w:rsidR="00986CCC">
        <w:rPr>
          <w:b w:val="0"/>
          <w:bCs w:val="0"/>
          <w:color w:val="000000" w:themeColor="text1"/>
        </w:rPr>
        <w:t>band</w:t>
      </w:r>
      <w:r>
        <w:rPr>
          <w:b w:val="0"/>
          <w:bCs w:val="0"/>
          <w:color w:val="000000" w:themeColor="text1"/>
        </w:rPr>
        <w:t xml:space="preserve"> is mapped to the red </w:t>
      </w:r>
      <w:r w:rsidR="00986CCC">
        <w:rPr>
          <w:b w:val="0"/>
          <w:bCs w:val="0"/>
          <w:color w:val="000000" w:themeColor="text1"/>
        </w:rPr>
        <w:t>channel</w:t>
      </w:r>
      <w:r>
        <w:rPr>
          <w:b w:val="0"/>
          <w:bCs w:val="0"/>
          <w:color w:val="000000" w:themeColor="text1"/>
        </w:rPr>
        <w:t xml:space="preserve">, the NIR </w:t>
      </w:r>
      <w:r w:rsidR="00986CCC">
        <w:rPr>
          <w:b w:val="0"/>
          <w:bCs w:val="0"/>
          <w:color w:val="000000" w:themeColor="text1"/>
        </w:rPr>
        <w:t>band</w:t>
      </w:r>
      <w:r>
        <w:rPr>
          <w:b w:val="0"/>
          <w:bCs w:val="0"/>
          <w:color w:val="000000" w:themeColor="text1"/>
        </w:rPr>
        <w:t xml:space="preserve"> is mapped to the green </w:t>
      </w:r>
      <w:r w:rsidR="00986CCC">
        <w:rPr>
          <w:b w:val="0"/>
          <w:bCs w:val="0"/>
          <w:color w:val="000000" w:themeColor="text1"/>
        </w:rPr>
        <w:t>channel</w:t>
      </w:r>
      <w:r>
        <w:rPr>
          <w:b w:val="0"/>
          <w:bCs w:val="0"/>
          <w:color w:val="000000" w:themeColor="text1"/>
        </w:rPr>
        <w:t xml:space="preserve">, and the red </w:t>
      </w:r>
      <w:r w:rsidR="00986CCC">
        <w:rPr>
          <w:b w:val="0"/>
          <w:bCs w:val="0"/>
          <w:color w:val="000000" w:themeColor="text1"/>
        </w:rPr>
        <w:t>band</w:t>
      </w:r>
      <w:r>
        <w:rPr>
          <w:b w:val="0"/>
          <w:bCs w:val="0"/>
          <w:color w:val="000000" w:themeColor="text1"/>
        </w:rPr>
        <w:t xml:space="preserve"> is mapped to the </w:t>
      </w:r>
      <w:r w:rsidR="00986CCC">
        <w:rPr>
          <w:b w:val="0"/>
          <w:bCs w:val="0"/>
          <w:color w:val="000000" w:themeColor="text1"/>
        </w:rPr>
        <w:t>blue channel</w:t>
      </w:r>
      <w:r>
        <w:rPr>
          <w:b w:val="0"/>
          <w:bCs w:val="0"/>
          <w:color w:val="000000" w:themeColor="text1"/>
        </w:rPr>
        <w:t xml:space="preserve">. </w:t>
      </w:r>
    </w:p>
    <w:p w14:paraId="266D1948" w14:textId="4E2FA735" w:rsidR="00196A69" w:rsidRDefault="00196A69" w:rsidP="004E3FB7">
      <w:pPr>
        <w:pStyle w:val="LabHeader1"/>
      </w:pPr>
    </w:p>
    <w:p w14:paraId="5805EDCC" w14:textId="134DF240" w:rsidR="00196A69" w:rsidRDefault="00712492" w:rsidP="00712492">
      <w:pPr>
        <w:pStyle w:val="LabHeader1"/>
        <w:jc w:val="center"/>
      </w:pPr>
      <w:r w:rsidRPr="00712492">
        <w:lastRenderedPageBreak/>
        <w:drawing>
          <wp:inline distT="0" distB="0" distL="0" distR="0" wp14:anchorId="30534A28" wp14:editId="5A69CC15">
            <wp:extent cx="3854648" cy="1720938"/>
            <wp:effectExtent l="0" t="0" r="0" b="0"/>
            <wp:docPr id="15579441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944104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54648" cy="172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D40F9" w14:textId="602324D8" w:rsidR="00712492" w:rsidRDefault="00712492" w:rsidP="00712492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>Toggle between the two images to see if you can locate the fire extent based on changes in the imagery between the two dates</w:t>
      </w:r>
      <w:r>
        <w:rPr>
          <w:b w:val="0"/>
          <w:bCs w:val="0"/>
          <w:color w:val="000000" w:themeColor="text1"/>
        </w:rPr>
        <w:t xml:space="preserve"> using this new band combination</w:t>
      </w:r>
      <w:r>
        <w:rPr>
          <w:b w:val="0"/>
          <w:bCs w:val="0"/>
          <w:color w:val="000000" w:themeColor="text1"/>
        </w:rPr>
        <w:t xml:space="preserve">. This can be accomplished by clicking on the check box next to the </w:t>
      </w:r>
      <w:r w:rsidR="00986CCC">
        <w:rPr>
          <w:b w:val="0"/>
          <w:bCs w:val="0"/>
          <w:color w:val="000000" w:themeColor="text1"/>
        </w:rPr>
        <w:t>layer</w:t>
      </w:r>
      <w:r>
        <w:rPr>
          <w:b w:val="0"/>
          <w:bCs w:val="0"/>
          <w:color w:val="000000" w:themeColor="text1"/>
        </w:rPr>
        <w:t xml:space="preserve"> name in the Contents Pane. </w:t>
      </w:r>
    </w:p>
    <w:p w14:paraId="7E66C71E" w14:textId="0FAD9B82" w:rsidR="00712492" w:rsidRDefault="00712492" w:rsidP="00712492">
      <w:pPr>
        <w:pStyle w:val="LabHeader2"/>
        <w:spacing w:line="240" w:lineRule="auto"/>
        <w:ind w:left="720"/>
        <w:contextualSpacing/>
        <w:rPr>
          <w:b w:val="0"/>
          <w:bCs w:val="0"/>
          <w:color w:val="000000" w:themeColor="text1"/>
        </w:rPr>
      </w:pPr>
    </w:p>
    <w:p w14:paraId="14F26BB9" w14:textId="6726EFAB" w:rsidR="00712492" w:rsidRDefault="00712492" w:rsidP="00FB6B33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986CCC">
        <w:rPr>
          <w:color w:val="C00000"/>
        </w:rPr>
        <w:t xml:space="preserve">Discussion Point </w:t>
      </w:r>
      <w:r w:rsidR="00AC0A33" w:rsidRPr="00986CCC">
        <w:rPr>
          <w:color w:val="C00000"/>
        </w:rPr>
        <w:t>3</w:t>
      </w:r>
      <w:r w:rsidRPr="00986CCC">
        <w:rPr>
          <w:color w:val="C00000"/>
        </w:rPr>
        <w:t>:</w:t>
      </w:r>
      <w:r w:rsidRPr="00712492">
        <w:rPr>
          <w:b w:val="0"/>
          <w:bCs w:val="0"/>
          <w:color w:val="C00000"/>
        </w:rPr>
        <w:t xml:space="preserve"> How easy is it to see the extent of the fire using this band combination?</w:t>
      </w:r>
      <w:r>
        <w:rPr>
          <w:b w:val="0"/>
          <w:bCs w:val="0"/>
          <w:color w:val="C00000"/>
        </w:rPr>
        <w:t xml:space="preserve"> Is it easier or mor</w:t>
      </w:r>
      <w:r w:rsidR="00986CCC">
        <w:rPr>
          <w:b w:val="0"/>
          <w:bCs w:val="0"/>
          <w:color w:val="C00000"/>
        </w:rPr>
        <w:t>e</w:t>
      </w:r>
      <w:r>
        <w:rPr>
          <w:b w:val="0"/>
          <w:bCs w:val="0"/>
          <w:color w:val="C00000"/>
        </w:rPr>
        <w:t xml:space="preserve"> difficult than using a simulated true color image</w:t>
      </w:r>
      <w:r w:rsidR="00986CCC">
        <w:rPr>
          <w:b w:val="0"/>
          <w:bCs w:val="0"/>
          <w:color w:val="C00000"/>
        </w:rPr>
        <w:t>?</w:t>
      </w:r>
    </w:p>
    <w:p w14:paraId="077AA3E4" w14:textId="77777777" w:rsidR="00712492" w:rsidRDefault="00712492" w:rsidP="00712492">
      <w:pPr>
        <w:pStyle w:val="LabHeader2"/>
        <w:spacing w:line="240" w:lineRule="auto"/>
        <w:ind w:left="360"/>
        <w:contextualSpacing/>
        <w:rPr>
          <w:b w:val="0"/>
          <w:bCs w:val="0"/>
          <w:color w:val="C00000"/>
        </w:rPr>
      </w:pPr>
    </w:p>
    <w:p w14:paraId="258B5722" w14:textId="3F06025D" w:rsidR="00712492" w:rsidRDefault="00712492" w:rsidP="00712492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Calculate the NBR separately for each image as follows:</w:t>
      </w:r>
    </w:p>
    <w:p w14:paraId="07F37D6B" w14:textId="77BD653B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Make sure one of the images is selected in the Contents Pane.</w:t>
      </w:r>
    </w:p>
    <w:p w14:paraId="0CF9ACE8" w14:textId="42AED612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 xml:space="preserve">Navigate to the Imagery Tab. </w:t>
      </w:r>
    </w:p>
    <w:p w14:paraId="715C5CDE" w14:textId="1EEBF5F5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Select Indices followed by NBR.</w:t>
      </w:r>
    </w:p>
    <w:p w14:paraId="32469F58" w14:textId="194A2BBD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 w:rsidRPr="00712492">
        <w:drawing>
          <wp:anchor distT="0" distB="0" distL="114300" distR="114300" simplePos="0" relativeHeight="251668480" behindDoc="0" locked="0" layoutInCell="1" allowOverlap="1" wp14:anchorId="78D251C0" wp14:editId="5B6434F0">
            <wp:simplePos x="0" y="0"/>
            <wp:positionH relativeFrom="column">
              <wp:posOffset>2762250</wp:posOffset>
            </wp:positionH>
            <wp:positionV relativeFrom="paragraph">
              <wp:posOffset>13970</wp:posOffset>
            </wp:positionV>
            <wp:extent cx="2921150" cy="1987652"/>
            <wp:effectExtent l="0" t="0" r="0" b="0"/>
            <wp:wrapSquare wrapText="bothSides"/>
            <wp:docPr id="810163029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163029" name="Picture 1" descr="A screenshot of a computer program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150" cy="19876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bCs w:val="0"/>
          <w:color w:val="auto"/>
        </w:rPr>
        <w:t xml:space="preserve">In the pop-up </w:t>
      </w:r>
      <w:r w:rsidR="00986CCC">
        <w:rPr>
          <w:b w:val="0"/>
          <w:bCs w:val="0"/>
          <w:color w:val="auto"/>
        </w:rPr>
        <w:t>window</w:t>
      </w:r>
      <w:r>
        <w:rPr>
          <w:b w:val="0"/>
          <w:bCs w:val="0"/>
          <w:color w:val="auto"/>
        </w:rPr>
        <w:t xml:space="preserve">, make sure that Near Infrared Band Index is set to Band_5 and Shortwave Infrared Band Index is set to Band_7. </w:t>
      </w:r>
    </w:p>
    <w:p w14:paraId="34C83C5B" w14:textId="527D9662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Click OK to execute the tool.</w:t>
      </w:r>
    </w:p>
    <w:p w14:paraId="52D80C76" w14:textId="141BD450" w:rsidR="00712492" w:rsidRDefault="00712492" w:rsidP="00712492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 xml:space="preserve">Repeat this process for the other image. </w:t>
      </w:r>
    </w:p>
    <w:p w14:paraId="40B206C0" w14:textId="77777777" w:rsidR="00712492" w:rsidRDefault="00712492" w:rsidP="00712492">
      <w:pPr>
        <w:pStyle w:val="LabHeader2"/>
        <w:spacing w:line="240" w:lineRule="auto"/>
        <w:contextualSpacing/>
        <w:rPr>
          <w:b w:val="0"/>
          <w:bCs w:val="0"/>
          <w:color w:val="auto"/>
        </w:rPr>
      </w:pPr>
    </w:p>
    <w:p w14:paraId="59929CBA" w14:textId="77777777" w:rsidR="00712492" w:rsidRDefault="00712492" w:rsidP="00712492">
      <w:pPr>
        <w:pStyle w:val="LabHeader2"/>
        <w:spacing w:line="240" w:lineRule="auto"/>
        <w:contextualSpacing/>
        <w:rPr>
          <w:b w:val="0"/>
          <w:bCs w:val="0"/>
          <w:color w:val="auto"/>
        </w:rPr>
      </w:pPr>
    </w:p>
    <w:p w14:paraId="2EB3B731" w14:textId="73CE45B1" w:rsidR="00712492" w:rsidRDefault="00712492" w:rsidP="00712492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986CCC">
        <w:rPr>
          <w:color w:val="C00000"/>
        </w:rPr>
        <w:t xml:space="preserve">Discussion Point </w:t>
      </w:r>
      <w:r w:rsidR="00AC0A33" w:rsidRPr="00986CCC">
        <w:rPr>
          <w:color w:val="C00000"/>
        </w:rPr>
        <w:t>4</w:t>
      </w:r>
      <w:r w:rsidRPr="00986CCC">
        <w:rPr>
          <w:color w:val="C00000"/>
        </w:rPr>
        <w:t>:</w:t>
      </w:r>
      <w:r w:rsidRPr="00712492">
        <w:rPr>
          <w:b w:val="0"/>
          <w:bCs w:val="0"/>
          <w:color w:val="C00000"/>
        </w:rPr>
        <w:t xml:space="preserve"> </w:t>
      </w:r>
      <w:r>
        <w:rPr>
          <w:b w:val="0"/>
          <w:bCs w:val="0"/>
          <w:color w:val="C00000"/>
        </w:rPr>
        <w:t xml:space="preserve"> </w:t>
      </w:r>
      <w:r>
        <w:rPr>
          <w:b w:val="0"/>
          <w:bCs w:val="0"/>
          <w:color w:val="C00000"/>
        </w:rPr>
        <w:t xml:space="preserve">In the post-fire NBR, the burned area should show up as </w:t>
      </w:r>
      <w:r w:rsidR="00FB6B33">
        <w:rPr>
          <w:b w:val="0"/>
          <w:bCs w:val="0"/>
          <w:color w:val="C00000"/>
        </w:rPr>
        <w:t>dark</w:t>
      </w:r>
      <w:r>
        <w:rPr>
          <w:b w:val="0"/>
          <w:bCs w:val="0"/>
          <w:color w:val="C00000"/>
        </w:rPr>
        <w:t xml:space="preserve">. Can you explain why this is </w:t>
      </w:r>
      <w:r w:rsidR="00986CCC">
        <w:rPr>
          <w:b w:val="0"/>
          <w:bCs w:val="0"/>
          <w:color w:val="C00000"/>
        </w:rPr>
        <w:t xml:space="preserve">the case </w:t>
      </w:r>
      <w:r>
        <w:rPr>
          <w:b w:val="0"/>
          <w:bCs w:val="0"/>
          <w:color w:val="C00000"/>
        </w:rPr>
        <w:t xml:space="preserve">based on the band ratio used and the spectral reflectance of burned areas vs. </w:t>
      </w:r>
      <w:r w:rsidR="00986CCC">
        <w:rPr>
          <w:b w:val="0"/>
          <w:bCs w:val="0"/>
          <w:color w:val="C00000"/>
        </w:rPr>
        <w:t xml:space="preserve">healthy </w:t>
      </w:r>
      <w:r>
        <w:rPr>
          <w:b w:val="0"/>
          <w:bCs w:val="0"/>
          <w:color w:val="C00000"/>
        </w:rPr>
        <w:t>forested areas?</w:t>
      </w:r>
    </w:p>
    <w:p w14:paraId="7B3B8C94" w14:textId="77777777" w:rsidR="00712492" w:rsidRPr="00712492" w:rsidRDefault="00712492" w:rsidP="00712492">
      <w:pPr>
        <w:pStyle w:val="LabHeader2"/>
        <w:spacing w:line="240" w:lineRule="auto"/>
        <w:contextualSpacing/>
        <w:rPr>
          <w:b w:val="0"/>
          <w:bCs w:val="0"/>
          <w:color w:val="auto"/>
        </w:rPr>
      </w:pPr>
    </w:p>
    <w:p w14:paraId="3E2DF0C8" w14:textId="70ECAED9" w:rsidR="00196A69" w:rsidRDefault="00196A69" w:rsidP="005B1F72">
      <w:pPr>
        <w:pStyle w:val="LabHeader1"/>
      </w:pPr>
    </w:p>
    <w:p w14:paraId="21B10D16" w14:textId="16C0036D" w:rsidR="00196A69" w:rsidRDefault="00AC0A33" w:rsidP="00AC0A33">
      <w:pPr>
        <w:pStyle w:val="LabHeader1"/>
        <w:numPr>
          <w:ilvl w:val="0"/>
          <w:numId w:val="21"/>
        </w:numPr>
        <w:rPr>
          <w:b w:val="0"/>
          <w:bCs w:val="0"/>
          <w:color w:val="auto"/>
          <w:sz w:val="24"/>
          <w:szCs w:val="24"/>
        </w:rPr>
      </w:pPr>
      <w:r w:rsidRPr="00AC0A33">
        <w:rPr>
          <w:b w:val="0"/>
          <w:bCs w:val="0"/>
          <w:color w:val="auto"/>
          <w:sz w:val="24"/>
          <w:szCs w:val="24"/>
        </w:rPr>
        <w:lastRenderedPageBreak/>
        <w:t xml:space="preserve">Calculate </w:t>
      </w:r>
      <w:r>
        <w:rPr>
          <w:b w:val="0"/>
          <w:bCs w:val="0"/>
          <w:color w:val="auto"/>
          <w:sz w:val="24"/>
          <w:szCs w:val="24"/>
        </w:rPr>
        <w:t xml:space="preserve">the </w:t>
      </w:r>
      <w:proofErr w:type="spellStart"/>
      <w:r>
        <w:rPr>
          <w:b w:val="0"/>
          <w:bCs w:val="0"/>
          <w:color w:val="auto"/>
          <w:sz w:val="24"/>
          <w:szCs w:val="24"/>
        </w:rPr>
        <w:t>dNBR</w:t>
      </w:r>
      <w:proofErr w:type="spellEnd"/>
      <w:r>
        <w:rPr>
          <w:b w:val="0"/>
          <w:bCs w:val="0"/>
          <w:color w:val="auto"/>
          <w:sz w:val="24"/>
          <w:szCs w:val="24"/>
        </w:rPr>
        <w:t xml:space="preserve"> using the pre- and post-fire NBRs that you just calculated. </w:t>
      </w:r>
    </w:p>
    <w:p w14:paraId="22DC68B1" w14:textId="7FF0FB5C" w:rsidR="00AC0A33" w:rsidRDefault="00AC0A33" w:rsidP="00AC0A33">
      <w:pPr>
        <w:pStyle w:val="LabHeader1"/>
        <w:numPr>
          <w:ilvl w:val="1"/>
          <w:numId w:val="21"/>
        </w:numPr>
        <w:rPr>
          <w:b w:val="0"/>
          <w:bCs w:val="0"/>
          <w:color w:val="auto"/>
          <w:sz w:val="24"/>
          <w:szCs w:val="24"/>
        </w:rPr>
      </w:pPr>
      <w:r w:rsidRPr="00AC0A33">
        <w:drawing>
          <wp:anchor distT="0" distB="0" distL="114300" distR="114300" simplePos="0" relativeHeight="251669504" behindDoc="0" locked="0" layoutInCell="1" allowOverlap="1" wp14:anchorId="3E868E01" wp14:editId="071F65EB">
            <wp:simplePos x="0" y="0"/>
            <wp:positionH relativeFrom="column">
              <wp:posOffset>4318000</wp:posOffset>
            </wp:positionH>
            <wp:positionV relativeFrom="paragraph">
              <wp:posOffset>95885</wp:posOffset>
            </wp:positionV>
            <wp:extent cx="520727" cy="596931"/>
            <wp:effectExtent l="0" t="0" r="0" b="0"/>
            <wp:wrapSquare wrapText="bothSides"/>
            <wp:docPr id="207449132" name="Picture 1" descr="A red toolbox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49132" name="Picture 1" descr="A red toolbox with white text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727" cy="596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bCs w:val="0"/>
          <w:color w:val="auto"/>
          <w:sz w:val="24"/>
          <w:szCs w:val="24"/>
        </w:rPr>
        <w:t xml:space="preserve">Navigate to the Analysis Tab. </w:t>
      </w:r>
    </w:p>
    <w:p w14:paraId="3DFDACBD" w14:textId="2B0CC54A" w:rsidR="00AC0A33" w:rsidRDefault="00AC0A33" w:rsidP="00AC0A33">
      <w:pPr>
        <w:pStyle w:val="LabHeader1"/>
        <w:numPr>
          <w:ilvl w:val="1"/>
          <w:numId w:val="21"/>
        </w:numPr>
        <w:rPr>
          <w:b w:val="0"/>
          <w:bCs w:val="0"/>
          <w:color w:val="auto"/>
          <w:sz w:val="24"/>
          <w:szCs w:val="24"/>
        </w:rPr>
      </w:pPr>
      <w:r>
        <w:rPr>
          <w:b w:val="0"/>
          <w:bCs w:val="0"/>
          <w:color w:val="auto"/>
          <w:sz w:val="24"/>
          <w:szCs w:val="24"/>
        </w:rPr>
        <w:t xml:space="preserve">Select the Tools Icon. This will open the Geoprocessing Pane. </w:t>
      </w:r>
    </w:p>
    <w:p w14:paraId="40706A11" w14:textId="77777777" w:rsidR="00AC0A33" w:rsidRDefault="00AC0A33" w:rsidP="00AC0A33">
      <w:pPr>
        <w:pStyle w:val="LabHeader1"/>
        <w:numPr>
          <w:ilvl w:val="1"/>
          <w:numId w:val="21"/>
        </w:numPr>
        <w:rPr>
          <w:b w:val="0"/>
          <w:bCs w:val="0"/>
          <w:color w:val="auto"/>
          <w:sz w:val="24"/>
          <w:szCs w:val="24"/>
        </w:rPr>
      </w:pPr>
      <w:r w:rsidRPr="00AC0A33">
        <w:drawing>
          <wp:anchor distT="0" distB="0" distL="114300" distR="114300" simplePos="0" relativeHeight="251670528" behindDoc="0" locked="0" layoutInCell="1" allowOverlap="1" wp14:anchorId="78F2B338" wp14:editId="007CBBED">
            <wp:simplePos x="0" y="0"/>
            <wp:positionH relativeFrom="column">
              <wp:posOffset>2787650</wp:posOffset>
            </wp:positionH>
            <wp:positionV relativeFrom="paragraph">
              <wp:posOffset>26670</wp:posOffset>
            </wp:positionV>
            <wp:extent cx="2962275" cy="1828800"/>
            <wp:effectExtent l="0" t="0" r="9525" b="0"/>
            <wp:wrapSquare wrapText="bothSides"/>
            <wp:docPr id="12543368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336899" name="Picture 1" descr="A screenshot of a computer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bCs w:val="0"/>
          <w:color w:val="auto"/>
          <w:sz w:val="24"/>
          <w:szCs w:val="24"/>
        </w:rPr>
        <w:t xml:space="preserve">In the Geoprocessing Pane search for “Raster Calculator”. Select the Raster Calculator tool (you can use the Image Analyst or Spatial Analyst version; they are the same). </w:t>
      </w:r>
    </w:p>
    <w:p w14:paraId="2366370C" w14:textId="5A959327" w:rsidR="00AC0A33" w:rsidRDefault="00AC0A33" w:rsidP="00AC0A33">
      <w:pPr>
        <w:pStyle w:val="LabHeader1"/>
        <w:numPr>
          <w:ilvl w:val="1"/>
          <w:numId w:val="21"/>
        </w:numPr>
        <w:rPr>
          <w:b w:val="0"/>
          <w:bCs w:val="0"/>
          <w:color w:val="auto"/>
          <w:sz w:val="24"/>
          <w:szCs w:val="24"/>
        </w:rPr>
      </w:pPr>
      <w:r>
        <w:rPr>
          <w:b w:val="0"/>
          <w:bCs w:val="0"/>
          <w:color w:val="auto"/>
          <w:sz w:val="24"/>
          <w:szCs w:val="24"/>
        </w:rPr>
        <w:t xml:space="preserve">Use Raster Calculator to calculate the </w:t>
      </w:r>
      <w:proofErr w:type="spellStart"/>
      <w:r>
        <w:rPr>
          <w:b w:val="0"/>
          <w:bCs w:val="0"/>
          <w:color w:val="auto"/>
          <w:sz w:val="24"/>
          <w:szCs w:val="24"/>
        </w:rPr>
        <w:t>dNBR</w:t>
      </w:r>
      <w:proofErr w:type="spellEnd"/>
      <w:r>
        <w:rPr>
          <w:b w:val="0"/>
          <w:bCs w:val="0"/>
          <w:color w:val="auto"/>
          <w:sz w:val="24"/>
          <w:szCs w:val="24"/>
        </w:rPr>
        <w:t xml:space="preserve"> by subtracting the post-fire NBR from the pre-fire NBR. </w:t>
      </w:r>
    </w:p>
    <w:p w14:paraId="04B24111" w14:textId="589B2AB6" w:rsidR="00FB6B33" w:rsidRPr="00AC0A33" w:rsidRDefault="00FB6B33" w:rsidP="00AC0A33">
      <w:pPr>
        <w:pStyle w:val="LabHeader1"/>
        <w:numPr>
          <w:ilvl w:val="1"/>
          <w:numId w:val="21"/>
        </w:numPr>
        <w:rPr>
          <w:b w:val="0"/>
          <w:bCs w:val="0"/>
          <w:color w:val="auto"/>
          <w:sz w:val="24"/>
          <w:szCs w:val="24"/>
        </w:rPr>
      </w:pPr>
      <w:r>
        <w:rPr>
          <w:b w:val="0"/>
          <w:bCs w:val="0"/>
          <w:color w:val="auto"/>
          <w:sz w:val="24"/>
          <w:szCs w:val="24"/>
        </w:rPr>
        <w:t xml:space="preserve">Name the output </w:t>
      </w:r>
      <w:proofErr w:type="spellStart"/>
      <w:r>
        <w:rPr>
          <w:b w:val="0"/>
          <w:bCs w:val="0"/>
          <w:color w:val="auto"/>
          <w:sz w:val="24"/>
          <w:szCs w:val="24"/>
        </w:rPr>
        <w:t>dNBR</w:t>
      </w:r>
      <w:proofErr w:type="spellEnd"/>
      <w:r>
        <w:rPr>
          <w:b w:val="0"/>
          <w:bCs w:val="0"/>
          <w:color w:val="auto"/>
          <w:sz w:val="24"/>
          <w:szCs w:val="24"/>
        </w:rPr>
        <w:t xml:space="preserve"> and click Run to execute the tool. The output should be added to the map once the process </w:t>
      </w:r>
      <w:proofErr w:type="gramStart"/>
      <w:r>
        <w:rPr>
          <w:b w:val="0"/>
          <w:bCs w:val="0"/>
          <w:color w:val="auto"/>
          <w:sz w:val="24"/>
          <w:szCs w:val="24"/>
        </w:rPr>
        <w:t>executes</w:t>
      </w:r>
      <w:proofErr w:type="gramEnd"/>
      <w:r>
        <w:rPr>
          <w:b w:val="0"/>
          <w:bCs w:val="0"/>
          <w:color w:val="auto"/>
          <w:sz w:val="24"/>
          <w:szCs w:val="24"/>
        </w:rPr>
        <w:t xml:space="preserve">. </w:t>
      </w:r>
    </w:p>
    <w:p w14:paraId="2FB4CAA0" w14:textId="33AE6EE3" w:rsidR="00196A69" w:rsidRDefault="00FB6B33" w:rsidP="00FB6B33">
      <w:pPr>
        <w:pStyle w:val="LabHeader1"/>
        <w:jc w:val="center"/>
      </w:pPr>
      <w:r w:rsidRPr="00FB6B33">
        <w:drawing>
          <wp:inline distT="0" distB="0" distL="0" distR="0" wp14:anchorId="45E0CFA9" wp14:editId="72895BAC">
            <wp:extent cx="3911600" cy="3645303"/>
            <wp:effectExtent l="0" t="0" r="0" b="0"/>
            <wp:docPr id="14133617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361715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14148" cy="3647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A1FB8" w14:textId="3B9D15C6" w:rsidR="00196A69" w:rsidRDefault="00196A69" w:rsidP="005B1F72">
      <w:pPr>
        <w:pStyle w:val="LabHeader1"/>
      </w:pPr>
    </w:p>
    <w:p w14:paraId="5D94E847" w14:textId="6B82DD20" w:rsidR="00FB6B33" w:rsidRDefault="00FB6B33" w:rsidP="00FB6B33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986CCC">
        <w:rPr>
          <w:color w:val="C00000"/>
        </w:rPr>
        <w:lastRenderedPageBreak/>
        <w:t xml:space="preserve">Discussion Point </w:t>
      </w:r>
      <w:r w:rsidRPr="00986CCC">
        <w:rPr>
          <w:color w:val="C00000"/>
        </w:rPr>
        <w:t>5</w:t>
      </w:r>
      <w:r w:rsidRPr="00986CCC">
        <w:rPr>
          <w:color w:val="C00000"/>
        </w:rPr>
        <w:t>:</w:t>
      </w:r>
      <w:r w:rsidRPr="00712492">
        <w:rPr>
          <w:b w:val="0"/>
          <w:bCs w:val="0"/>
          <w:color w:val="C00000"/>
        </w:rPr>
        <w:t xml:space="preserve"> </w:t>
      </w:r>
      <w:r>
        <w:rPr>
          <w:b w:val="0"/>
          <w:bCs w:val="0"/>
          <w:color w:val="C00000"/>
        </w:rPr>
        <w:t xml:space="preserve"> In the </w:t>
      </w:r>
      <w:proofErr w:type="spellStart"/>
      <w:r>
        <w:rPr>
          <w:b w:val="0"/>
          <w:bCs w:val="0"/>
          <w:color w:val="C00000"/>
        </w:rPr>
        <w:t>d</w:t>
      </w:r>
      <w:r>
        <w:rPr>
          <w:b w:val="0"/>
          <w:bCs w:val="0"/>
          <w:color w:val="C00000"/>
        </w:rPr>
        <w:t>NBR</w:t>
      </w:r>
      <w:proofErr w:type="spellEnd"/>
      <w:r>
        <w:rPr>
          <w:b w:val="0"/>
          <w:bCs w:val="0"/>
          <w:color w:val="C00000"/>
        </w:rPr>
        <w:t xml:space="preserve">, the burned area should show up as </w:t>
      </w:r>
      <w:r>
        <w:rPr>
          <w:b w:val="0"/>
          <w:bCs w:val="0"/>
          <w:color w:val="C00000"/>
        </w:rPr>
        <w:t>bright</w:t>
      </w:r>
      <w:r>
        <w:rPr>
          <w:b w:val="0"/>
          <w:bCs w:val="0"/>
          <w:color w:val="C00000"/>
        </w:rPr>
        <w:t xml:space="preserve">. Can you explain why this is based on the band ratio used and the spectral reflectance of burned areas vs. </w:t>
      </w:r>
      <w:r w:rsidR="00986CCC">
        <w:rPr>
          <w:b w:val="0"/>
          <w:bCs w:val="0"/>
          <w:color w:val="C00000"/>
        </w:rPr>
        <w:t xml:space="preserve">healthy </w:t>
      </w:r>
      <w:r>
        <w:rPr>
          <w:b w:val="0"/>
          <w:bCs w:val="0"/>
          <w:color w:val="C00000"/>
        </w:rPr>
        <w:t>forested areas?</w:t>
      </w:r>
    </w:p>
    <w:p w14:paraId="7060B68F" w14:textId="5D1A1476" w:rsidR="00FB6B33" w:rsidRDefault="00FB6B33" w:rsidP="00FB6B33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FB6B33">
        <w:drawing>
          <wp:anchor distT="0" distB="0" distL="114300" distR="114300" simplePos="0" relativeHeight="251671552" behindDoc="0" locked="0" layoutInCell="1" allowOverlap="1" wp14:anchorId="0F71D057" wp14:editId="44BB4145">
            <wp:simplePos x="0" y="0"/>
            <wp:positionH relativeFrom="margin">
              <wp:align>right</wp:align>
            </wp:positionH>
            <wp:positionV relativeFrom="paragraph">
              <wp:posOffset>151765</wp:posOffset>
            </wp:positionV>
            <wp:extent cx="3467100" cy="2095500"/>
            <wp:effectExtent l="0" t="0" r="0" b="0"/>
            <wp:wrapSquare wrapText="bothSides"/>
            <wp:docPr id="11097409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740904" name="Picture 1" descr="A screenshot of a computer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1C299B" w14:textId="7D8877AB" w:rsidR="00FB6B33" w:rsidRDefault="00FB6B33" w:rsidP="00FB6B33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 xml:space="preserve">Lastly, you will convert this continuous output into severity categories. </w:t>
      </w:r>
    </w:p>
    <w:p w14:paraId="05B7980E" w14:textId="125F8F05" w:rsidR="00FB6B33" w:rsidRDefault="00FB6B33" w:rsidP="00FB6B33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In the Geoprocessing Pane, search for “Reclassify”.</w:t>
      </w:r>
    </w:p>
    <w:p w14:paraId="51974AA7" w14:textId="35F8A730" w:rsidR="00FB6B33" w:rsidRDefault="00D57BEF" w:rsidP="00FB6B33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 w:rsidRPr="00D57BEF">
        <w:drawing>
          <wp:anchor distT="0" distB="0" distL="114300" distR="114300" simplePos="0" relativeHeight="251672576" behindDoc="0" locked="0" layoutInCell="1" allowOverlap="1" wp14:anchorId="10FDD7ED" wp14:editId="24732A62">
            <wp:simplePos x="0" y="0"/>
            <wp:positionH relativeFrom="column">
              <wp:posOffset>2774950</wp:posOffset>
            </wp:positionH>
            <wp:positionV relativeFrom="paragraph">
              <wp:posOffset>896620</wp:posOffset>
            </wp:positionV>
            <wp:extent cx="3134360" cy="4469130"/>
            <wp:effectExtent l="0" t="0" r="8890" b="7620"/>
            <wp:wrapSquare wrapText="bothSides"/>
            <wp:docPr id="12087348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734845" name="Picture 1" descr="A screenshot of a computer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4360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B33">
        <w:rPr>
          <w:b w:val="0"/>
          <w:bCs w:val="0"/>
          <w:color w:val="auto"/>
        </w:rPr>
        <w:t xml:space="preserve">Select the </w:t>
      </w:r>
      <w:r w:rsidR="00986CCC">
        <w:rPr>
          <w:b w:val="0"/>
          <w:bCs w:val="0"/>
          <w:color w:val="auto"/>
        </w:rPr>
        <w:t>Reclassify tool</w:t>
      </w:r>
      <w:r w:rsidR="00FB6B33">
        <w:rPr>
          <w:b w:val="0"/>
          <w:bCs w:val="0"/>
          <w:color w:val="auto"/>
        </w:rPr>
        <w:t xml:space="preserve"> (you can use the Spatial Analyst </w:t>
      </w:r>
      <w:r w:rsidR="00FB6B33">
        <w:rPr>
          <w:b w:val="0"/>
          <w:bCs w:val="0"/>
          <w:color w:val="auto"/>
        </w:rPr>
        <w:t xml:space="preserve">or 3D Analyst </w:t>
      </w:r>
      <w:r w:rsidR="00FB6B33">
        <w:rPr>
          <w:b w:val="0"/>
          <w:bCs w:val="0"/>
          <w:color w:val="auto"/>
        </w:rPr>
        <w:t>version; they are the same).</w:t>
      </w:r>
    </w:p>
    <w:p w14:paraId="65162895" w14:textId="1DECDB84" w:rsidR="00FB6B33" w:rsidRDefault="00FB6B33" w:rsidP="00FB6B33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 xml:space="preserve">Set the Input raster to your output </w:t>
      </w:r>
      <w:proofErr w:type="spellStart"/>
      <w:r>
        <w:rPr>
          <w:b w:val="0"/>
          <w:bCs w:val="0"/>
          <w:color w:val="auto"/>
        </w:rPr>
        <w:t>dNBR</w:t>
      </w:r>
      <w:proofErr w:type="spellEnd"/>
      <w:r>
        <w:rPr>
          <w:b w:val="0"/>
          <w:bCs w:val="0"/>
          <w:color w:val="auto"/>
        </w:rPr>
        <w:t xml:space="preserve"> layer. </w:t>
      </w:r>
    </w:p>
    <w:p w14:paraId="2F886E84" w14:textId="34AF364F" w:rsidR="00FB6B33" w:rsidRDefault="00FB6B33" w:rsidP="00FB6B33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 xml:space="preserve">Make sure </w:t>
      </w:r>
      <w:proofErr w:type="gramStart"/>
      <w:r>
        <w:rPr>
          <w:b w:val="0"/>
          <w:bCs w:val="0"/>
          <w:color w:val="auto"/>
        </w:rPr>
        <w:t>Reclass</w:t>
      </w:r>
      <w:proofErr w:type="gramEnd"/>
      <w:r>
        <w:rPr>
          <w:b w:val="0"/>
          <w:bCs w:val="0"/>
          <w:color w:val="auto"/>
        </w:rPr>
        <w:t xml:space="preserve"> field is set to VALUE. </w:t>
      </w:r>
    </w:p>
    <w:p w14:paraId="39F712C4" w14:textId="197F57FB" w:rsidR="00FB6B33" w:rsidRDefault="00FB6B33" w:rsidP="00FB6B33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Click the Classify button. In the pop-up window, change the number of classes to 4. Change the upper value options to reflect the values in Table 2.</w:t>
      </w:r>
      <w:r w:rsidR="00D57BEF">
        <w:rPr>
          <w:b w:val="0"/>
          <w:bCs w:val="0"/>
          <w:color w:val="auto"/>
        </w:rPr>
        <w:t xml:space="preserve"> Set the last break to a large number</w:t>
      </w:r>
      <w:r w:rsidR="00986CCC">
        <w:rPr>
          <w:b w:val="0"/>
          <w:bCs w:val="0"/>
          <w:color w:val="auto"/>
        </w:rPr>
        <w:t xml:space="preserve"> (</w:t>
      </w:r>
      <w:r w:rsidR="00D57BEF">
        <w:rPr>
          <w:b w:val="0"/>
          <w:bCs w:val="0"/>
          <w:color w:val="auto"/>
        </w:rPr>
        <w:t>I used 300</w:t>
      </w:r>
      <w:r w:rsidR="00986CCC">
        <w:rPr>
          <w:b w:val="0"/>
          <w:bCs w:val="0"/>
          <w:color w:val="auto"/>
        </w:rPr>
        <w:t xml:space="preserve">) </w:t>
      </w:r>
      <w:r w:rsidR="00D57BEF">
        <w:rPr>
          <w:b w:val="0"/>
          <w:bCs w:val="0"/>
          <w:color w:val="auto"/>
        </w:rPr>
        <w:t xml:space="preserve">so that all values are captured in the provided ranges. </w:t>
      </w:r>
    </w:p>
    <w:p w14:paraId="53FF2F99" w14:textId="65A2F78A" w:rsidR="00D57BEF" w:rsidRDefault="00D57BEF" w:rsidP="00FB6B33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Click OK in the Classify window.</w:t>
      </w:r>
    </w:p>
    <w:p w14:paraId="571AD7BB" w14:textId="5F469FA2" w:rsidR="00D57BEF" w:rsidRPr="00FB6B33" w:rsidRDefault="00D57BEF" w:rsidP="00FB6B33">
      <w:pPr>
        <w:pStyle w:val="LabHeader2"/>
        <w:numPr>
          <w:ilvl w:val="1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>In the Reclassify tool window, name the output “</w:t>
      </w:r>
      <w:proofErr w:type="spellStart"/>
      <w:r>
        <w:rPr>
          <w:b w:val="0"/>
          <w:bCs w:val="0"/>
          <w:color w:val="auto"/>
        </w:rPr>
        <w:t>dnbr_class</w:t>
      </w:r>
      <w:proofErr w:type="spellEnd"/>
      <w:r>
        <w:rPr>
          <w:b w:val="0"/>
          <w:bCs w:val="0"/>
          <w:color w:val="auto"/>
        </w:rPr>
        <w:t>”. Click Run to execute the tool.</w:t>
      </w:r>
    </w:p>
    <w:p w14:paraId="6E7BB2D3" w14:textId="63C3C791" w:rsidR="00196A69" w:rsidRDefault="00196A69" w:rsidP="005B1F72">
      <w:pPr>
        <w:pStyle w:val="LabHeader1"/>
      </w:pPr>
    </w:p>
    <w:p w14:paraId="2F8537B3" w14:textId="49A788AF" w:rsidR="00D57BEF" w:rsidRDefault="00D57BEF" w:rsidP="00AC76E1">
      <w:pPr>
        <w:pStyle w:val="LabHeader1"/>
        <w:jc w:val="center"/>
      </w:pPr>
      <w:r w:rsidRPr="00D57BEF">
        <w:lastRenderedPageBreak/>
        <w:drawing>
          <wp:inline distT="0" distB="0" distL="0" distR="0" wp14:anchorId="6834728B" wp14:editId="2B064AD2">
            <wp:extent cx="3829050" cy="4105848"/>
            <wp:effectExtent l="0" t="0" r="0" b="9525"/>
            <wp:docPr id="10503446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344690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32866" cy="410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0D2E3" w14:textId="3C6B325E" w:rsidR="00D57BEF" w:rsidRDefault="00D57BEF" w:rsidP="00D57BEF">
      <w:pPr>
        <w:pStyle w:val="LabHeader2"/>
        <w:numPr>
          <w:ilvl w:val="0"/>
          <w:numId w:val="21"/>
        </w:numPr>
        <w:spacing w:line="240" w:lineRule="auto"/>
        <w:contextualSpacing/>
        <w:rPr>
          <w:b w:val="0"/>
          <w:bCs w:val="0"/>
          <w:color w:val="auto"/>
        </w:rPr>
      </w:pPr>
      <w:r>
        <w:rPr>
          <w:b w:val="0"/>
          <w:bCs w:val="0"/>
          <w:color w:val="auto"/>
        </w:rPr>
        <w:t xml:space="preserve">Change the colors of the reclassified </w:t>
      </w:r>
      <w:r w:rsidR="000C2EA5">
        <w:rPr>
          <w:b w:val="0"/>
          <w:bCs w:val="0"/>
          <w:color w:val="auto"/>
        </w:rPr>
        <w:t xml:space="preserve">result. </w:t>
      </w:r>
      <w:r>
        <w:rPr>
          <w:b w:val="0"/>
          <w:bCs w:val="0"/>
          <w:color w:val="auto"/>
        </w:rPr>
        <w:t xml:space="preserve">This can be done by selecting the color in the Contents Pane and selecting a new color. The raster codes are as follows: 1 = “Not Burned”, 2 = “Low Severity”, 3 = “Moderate Severity”, and 4 = “High Severity”. You can set the color for 1 or “Not Burned” to No color so that it is hollow. </w:t>
      </w:r>
      <w:r>
        <w:rPr>
          <w:b w:val="0"/>
          <w:bCs w:val="0"/>
          <w:color w:val="auto"/>
        </w:rPr>
        <w:t xml:space="preserve"> </w:t>
      </w:r>
    </w:p>
    <w:p w14:paraId="12DF9B3F" w14:textId="193E85D4" w:rsidR="00196A69" w:rsidRDefault="00D57BEF" w:rsidP="005B1F72">
      <w:pPr>
        <w:pStyle w:val="LabHeader1"/>
      </w:pPr>
      <w:r w:rsidRPr="00D57BEF">
        <w:lastRenderedPageBreak/>
        <w:drawing>
          <wp:inline distT="0" distB="0" distL="0" distR="0" wp14:anchorId="0EA0DCE7" wp14:editId="2D48B76C">
            <wp:extent cx="5943600" cy="4244340"/>
            <wp:effectExtent l="0" t="0" r="0" b="3810"/>
            <wp:docPr id="2094322396" name="Picture 1" descr="A satellite image of a for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322396" name="Picture 1" descr="A satellite image of a fores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7C3F7" w14:textId="77777777" w:rsidR="00D57BEF" w:rsidRDefault="00D57BEF" w:rsidP="00D57BEF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</w:p>
    <w:p w14:paraId="174A10AB" w14:textId="32827770" w:rsidR="00D57BEF" w:rsidRDefault="00D57BEF" w:rsidP="00D57BEF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0C2EA5">
        <w:rPr>
          <w:color w:val="C00000"/>
        </w:rPr>
        <w:t xml:space="preserve">Discussion Point </w:t>
      </w:r>
      <w:r w:rsidRPr="000C2EA5">
        <w:rPr>
          <w:color w:val="C00000"/>
        </w:rPr>
        <w:t>6:</w:t>
      </w:r>
      <w:r>
        <w:rPr>
          <w:b w:val="0"/>
          <w:bCs w:val="0"/>
          <w:color w:val="C00000"/>
        </w:rPr>
        <w:t xml:space="preserve"> What are some sources of false positives (sites that were not </w:t>
      </w:r>
      <w:r w:rsidR="000C2EA5">
        <w:rPr>
          <w:b w:val="0"/>
          <w:bCs w:val="0"/>
          <w:color w:val="C00000"/>
        </w:rPr>
        <w:t>burned</w:t>
      </w:r>
      <w:r>
        <w:rPr>
          <w:b w:val="0"/>
          <w:bCs w:val="0"/>
          <w:color w:val="C00000"/>
        </w:rPr>
        <w:t xml:space="preserve"> but were suggested to be </w:t>
      </w:r>
      <w:r w:rsidR="000C2EA5">
        <w:rPr>
          <w:b w:val="0"/>
          <w:bCs w:val="0"/>
          <w:color w:val="C00000"/>
        </w:rPr>
        <w:t>burned</w:t>
      </w:r>
      <w:r>
        <w:rPr>
          <w:b w:val="0"/>
          <w:bCs w:val="0"/>
          <w:color w:val="C00000"/>
        </w:rPr>
        <w:t>)?</w:t>
      </w:r>
    </w:p>
    <w:p w14:paraId="5DEA4E72" w14:textId="77777777" w:rsidR="00D57BEF" w:rsidRDefault="00D57BEF" w:rsidP="00D57BEF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</w:p>
    <w:p w14:paraId="1180A545" w14:textId="522CCAF2" w:rsidR="00D57BEF" w:rsidRDefault="00D57BEF" w:rsidP="00D57BEF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0C2EA5">
        <w:rPr>
          <w:color w:val="C00000"/>
        </w:rPr>
        <w:t xml:space="preserve">Discussion Point </w:t>
      </w:r>
      <w:r w:rsidRPr="000C2EA5">
        <w:rPr>
          <w:color w:val="C00000"/>
        </w:rPr>
        <w:t>7</w:t>
      </w:r>
      <w:r w:rsidRPr="000C2EA5">
        <w:rPr>
          <w:color w:val="C00000"/>
        </w:rPr>
        <w:t>:</w:t>
      </w:r>
      <w:r>
        <w:rPr>
          <w:b w:val="0"/>
          <w:bCs w:val="0"/>
          <w:color w:val="C00000"/>
        </w:rPr>
        <w:t xml:space="preserve"> </w:t>
      </w:r>
      <w:r>
        <w:rPr>
          <w:b w:val="0"/>
          <w:bCs w:val="0"/>
          <w:color w:val="C00000"/>
        </w:rPr>
        <w:t xml:space="preserve">It is generally suggested to use near anniversary date images, or images collected around the same time of year, to calculate </w:t>
      </w:r>
      <w:proofErr w:type="spellStart"/>
      <w:r>
        <w:rPr>
          <w:b w:val="0"/>
          <w:bCs w:val="0"/>
          <w:color w:val="C00000"/>
        </w:rPr>
        <w:t>dNBR</w:t>
      </w:r>
      <w:proofErr w:type="spellEnd"/>
      <w:r>
        <w:rPr>
          <w:b w:val="0"/>
          <w:bCs w:val="0"/>
          <w:color w:val="C00000"/>
        </w:rPr>
        <w:t>. Why is using images that are not near anniversary dates an issue?</w:t>
      </w:r>
    </w:p>
    <w:p w14:paraId="2DBAC24C" w14:textId="77777777" w:rsidR="00D57BEF" w:rsidRDefault="00D57BEF" w:rsidP="00D57BEF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</w:p>
    <w:p w14:paraId="7B958CED" w14:textId="521278F8" w:rsidR="00255528" w:rsidRPr="00D57BEF" w:rsidRDefault="00D57BEF" w:rsidP="00D57BEF">
      <w:pPr>
        <w:pStyle w:val="LabHeader2"/>
        <w:spacing w:line="240" w:lineRule="auto"/>
        <w:contextualSpacing/>
        <w:rPr>
          <w:b w:val="0"/>
          <w:bCs w:val="0"/>
          <w:color w:val="C00000"/>
        </w:rPr>
      </w:pPr>
      <w:r w:rsidRPr="000C2EA5">
        <w:rPr>
          <w:color w:val="C00000"/>
        </w:rPr>
        <w:t>Discussion Point 8:</w:t>
      </w:r>
      <w:r>
        <w:rPr>
          <w:b w:val="0"/>
          <w:bCs w:val="0"/>
          <w:color w:val="C00000"/>
        </w:rPr>
        <w:t xml:space="preserve"> What are some issues that could make the operation</w:t>
      </w:r>
      <w:r w:rsidR="000C2EA5">
        <w:rPr>
          <w:b w:val="0"/>
          <w:bCs w:val="0"/>
          <w:color w:val="C00000"/>
        </w:rPr>
        <w:t>al</w:t>
      </w:r>
      <w:r>
        <w:rPr>
          <w:b w:val="0"/>
          <w:bCs w:val="0"/>
          <w:color w:val="C00000"/>
        </w:rPr>
        <w:t xml:space="preserve"> use of this process </w:t>
      </w:r>
      <w:r w:rsidR="000C2EA5">
        <w:rPr>
          <w:b w:val="0"/>
          <w:bCs w:val="0"/>
          <w:color w:val="C00000"/>
        </w:rPr>
        <w:t xml:space="preserve">for mapping and monitoring fires </w:t>
      </w:r>
      <w:r>
        <w:rPr>
          <w:b w:val="0"/>
          <w:bCs w:val="0"/>
          <w:color w:val="C00000"/>
        </w:rPr>
        <w:t>complicated?</w:t>
      </w:r>
    </w:p>
    <w:sectPr w:rsidR="00255528" w:rsidRPr="00D57BEF">
      <w:footerReference w:type="defaul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3BB8B7" w14:textId="77777777" w:rsidR="0062311A" w:rsidRDefault="0062311A" w:rsidP="00173077">
      <w:pPr>
        <w:spacing w:after="0" w:line="240" w:lineRule="auto"/>
      </w:pPr>
      <w:r>
        <w:separator/>
      </w:r>
    </w:p>
  </w:endnote>
  <w:endnote w:type="continuationSeparator" w:id="0">
    <w:p w14:paraId="3F3C3F98" w14:textId="77777777" w:rsidR="0062311A" w:rsidRDefault="0062311A" w:rsidP="001730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758904887"/>
      <w:docPartObj>
        <w:docPartGallery w:val="Page Numbers (Bottom of Page)"/>
        <w:docPartUnique/>
      </w:docPartObj>
    </w:sdtPr>
    <w:sdtEndPr>
      <w:rPr>
        <w:rFonts w:ascii="Palatino Linotype" w:hAnsi="Palatino Linotype"/>
        <w:noProof/>
      </w:rPr>
    </w:sdtEndPr>
    <w:sdtContent>
      <w:p w14:paraId="59FAE476" w14:textId="7BB1A70D" w:rsidR="00173077" w:rsidRPr="00E84E76" w:rsidRDefault="00173077">
        <w:pPr>
          <w:pStyle w:val="Footer"/>
          <w:jc w:val="center"/>
          <w:rPr>
            <w:rFonts w:ascii="Palatino Linotype" w:hAnsi="Palatino Linotype"/>
          </w:rPr>
        </w:pPr>
        <w:r w:rsidRPr="00E84E76">
          <w:rPr>
            <w:rFonts w:ascii="Palatino Linotype" w:hAnsi="Palatino Linotype"/>
          </w:rPr>
          <w:fldChar w:fldCharType="begin"/>
        </w:r>
        <w:r w:rsidRPr="00E84E76">
          <w:rPr>
            <w:rFonts w:ascii="Palatino Linotype" w:hAnsi="Palatino Linotype"/>
          </w:rPr>
          <w:instrText xml:space="preserve"> PAGE   \* MERGEFORMAT </w:instrText>
        </w:r>
        <w:r w:rsidRPr="00E84E76">
          <w:rPr>
            <w:rFonts w:ascii="Palatino Linotype" w:hAnsi="Palatino Linotype"/>
          </w:rPr>
          <w:fldChar w:fldCharType="separate"/>
        </w:r>
        <w:r w:rsidRPr="00E84E76">
          <w:rPr>
            <w:rFonts w:ascii="Palatino Linotype" w:hAnsi="Palatino Linotype"/>
            <w:noProof/>
          </w:rPr>
          <w:t>2</w:t>
        </w:r>
        <w:r w:rsidRPr="00E84E76">
          <w:rPr>
            <w:rFonts w:ascii="Palatino Linotype" w:hAnsi="Palatino Linotype"/>
            <w:noProof/>
          </w:rPr>
          <w:fldChar w:fldCharType="end"/>
        </w:r>
      </w:p>
    </w:sdtContent>
  </w:sdt>
  <w:p w14:paraId="32A8514C" w14:textId="77777777" w:rsidR="00173077" w:rsidRDefault="001730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AEDFD62" w14:textId="77777777" w:rsidR="0062311A" w:rsidRDefault="0062311A" w:rsidP="00173077">
      <w:pPr>
        <w:spacing w:after="0" w:line="240" w:lineRule="auto"/>
      </w:pPr>
      <w:r>
        <w:separator/>
      </w:r>
    </w:p>
  </w:footnote>
  <w:footnote w:type="continuationSeparator" w:id="0">
    <w:p w14:paraId="785AF0BA" w14:textId="77777777" w:rsidR="0062311A" w:rsidRDefault="0062311A" w:rsidP="001730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53066"/>
    <w:multiLevelType w:val="hybridMultilevel"/>
    <w:tmpl w:val="4F9220D0"/>
    <w:lvl w:ilvl="0" w:tplc="3BD0E2E4">
      <w:start w:val="1"/>
      <w:numFmt w:val="bullet"/>
      <w:pStyle w:val="LabLis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A16C2"/>
    <w:multiLevelType w:val="hybridMultilevel"/>
    <w:tmpl w:val="AC326C8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1EF31ED"/>
    <w:multiLevelType w:val="multilevel"/>
    <w:tmpl w:val="2A1847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4D1E2F"/>
    <w:multiLevelType w:val="hybridMultilevel"/>
    <w:tmpl w:val="5E90218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BE03A7"/>
    <w:multiLevelType w:val="multilevel"/>
    <w:tmpl w:val="B0E25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09C4179"/>
    <w:multiLevelType w:val="multilevel"/>
    <w:tmpl w:val="1870D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E9816AE"/>
    <w:multiLevelType w:val="hybridMultilevel"/>
    <w:tmpl w:val="8A3C9E54"/>
    <w:lvl w:ilvl="0" w:tplc="04090007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7F4F67"/>
    <w:multiLevelType w:val="hybridMultilevel"/>
    <w:tmpl w:val="E7FC3A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293FCE"/>
    <w:multiLevelType w:val="hybridMultilevel"/>
    <w:tmpl w:val="73B66F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1B6F30"/>
    <w:multiLevelType w:val="hybridMultilevel"/>
    <w:tmpl w:val="0F30E620"/>
    <w:lvl w:ilvl="0" w:tplc="DF381DD4">
      <w:start w:val="1"/>
      <w:numFmt w:val="bullet"/>
      <w:pStyle w:val="LabObjective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D24AC7"/>
    <w:multiLevelType w:val="hybridMultilevel"/>
    <w:tmpl w:val="14BE39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E3371A"/>
    <w:multiLevelType w:val="multilevel"/>
    <w:tmpl w:val="308E0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6E743A1"/>
    <w:multiLevelType w:val="hybridMultilevel"/>
    <w:tmpl w:val="6AE09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EE57A04"/>
    <w:multiLevelType w:val="hybridMultilevel"/>
    <w:tmpl w:val="3028D6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763F7E"/>
    <w:multiLevelType w:val="hybridMultilevel"/>
    <w:tmpl w:val="ED6036C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62C2E3B"/>
    <w:multiLevelType w:val="hybridMultilevel"/>
    <w:tmpl w:val="58DAF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70642E"/>
    <w:multiLevelType w:val="hybridMultilevel"/>
    <w:tmpl w:val="1F382A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7801CD"/>
    <w:multiLevelType w:val="multilevel"/>
    <w:tmpl w:val="6930B7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8750C80"/>
    <w:multiLevelType w:val="hybridMultilevel"/>
    <w:tmpl w:val="940ADD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947DA8"/>
    <w:multiLevelType w:val="multilevel"/>
    <w:tmpl w:val="D2F82F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1D962E3"/>
    <w:multiLevelType w:val="multilevel"/>
    <w:tmpl w:val="EF24B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9B612C8"/>
    <w:multiLevelType w:val="hybridMultilevel"/>
    <w:tmpl w:val="B4D616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571EE8"/>
    <w:multiLevelType w:val="hybridMultilevel"/>
    <w:tmpl w:val="7862C3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9156526">
    <w:abstractNumId w:val="9"/>
  </w:num>
  <w:num w:numId="2" w16cid:durableId="669598090">
    <w:abstractNumId w:val="18"/>
  </w:num>
  <w:num w:numId="3" w16cid:durableId="1331257183">
    <w:abstractNumId w:val="0"/>
  </w:num>
  <w:num w:numId="4" w16cid:durableId="1803231722">
    <w:abstractNumId w:val="22"/>
  </w:num>
  <w:num w:numId="5" w16cid:durableId="253705886">
    <w:abstractNumId w:val="15"/>
  </w:num>
  <w:num w:numId="6" w16cid:durableId="1591430050">
    <w:abstractNumId w:val="6"/>
  </w:num>
  <w:num w:numId="7" w16cid:durableId="1857111923">
    <w:abstractNumId w:val="12"/>
  </w:num>
  <w:num w:numId="8" w16cid:durableId="491337228">
    <w:abstractNumId w:val="17"/>
  </w:num>
  <w:num w:numId="9" w16cid:durableId="1591158824">
    <w:abstractNumId w:val="5"/>
  </w:num>
  <w:num w:numId="10" w16cid:durableId="368457168">
    <w:abstractNumId w:val="4"/>
  </w:num>
  <w:num w:numId="11" w16cid:durableId="762343509">
    <w:abstractNumId w:val="2"/>
  </w:num>
  <w:num w:numId="12" w16cid:durableId="161169154">
    <w:abstractNumId w:val="11"/>
  </w:num>
  <w:num w:numId="13" w16cid:durableId="275870179">
    <w:abstractNumId w:val="19"/>
  </w:num>
  <w:num w:numId="14" w16cid:durableId="1781877047">
    <w:abstractNumId w:val="20"/>
  </w:num>
  <w:num w:numId="15" w16cid:durableId="890262990">
    <w:abstractNumId w:val="13"/>
  </w:num>
  <w:num w:numId="16" w16cid:durableId="1994143429">
    <w:abstractNumId w:val="14"/>
  </w:num>
  <w:num w:numId="17" w16cid:durableId="532691506">
    <w:abstractNumId w:val="7"/>
  </w:num>
  <w:num w:numId="18" w16cid:durableId="589042081">
    <w:abstractNumId w:val="1"/>
  </w:num>
  <w:num w:numId="19" w16cid:durableId="1292593102">
    <w:abstractNumId w:val="16"/>
  </w:num>
  <w:num w:numId="20" w16cid:durableId="220754769">
    <w:abstractNumId w:val="10"/>
  </w:num>
  <w:num w:numId="21" w16cid:durableId="2059432887">
    <w:abstractNumId w:val="21"/>
  </w:num>
  <w:num w:numId="22" w16cid:durableId="287049660">
    <w:abstractNumId w:val="8"/>
  </w:num>
  <w:num w:numId="23" w16cid:durableId="4555666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53B4"/>
    <w:rsid w:val="00057FA2"/>
    <w:rsid w:val="0007126E"/>
    <w:rsid w:val="000C2EA5"/>
    <w:rsid w:val="000C3986"/>
    <w:rsid w:val="00173077"/>
    <w:rsid w:val="001926BB"/>
    <w:rsid w:val="00196A69"/>
    <w:rsid w:val="001D357F"/>
    <w:rsid w:val="002339E9"/>
    <w:rsid w:val="002340A6"/>
    <w:rsid w:val="00255528"/>
    <w:rsid w:val="00293A38"/>
    <w:rsid w:val="002A4421"/>
    <w:rsid w:val="002B449B"/>
    <w:rsid w:val="002D2E13"/>
    <w:rsid w:val="002E402F"/>
    <w:rsid w:val="003105A2"/>
    <w:rsid w:val="0031517F"/>
    <w:rsid w:val="00337912"/>
    <w:rsid w:val="00345E67"/>
    <w:rsid w:val="00347D0E"/>
    <w:rsid w:val="00356F23"/>
    <w:rsid w:val="003578D1"/>
    <w:rsid w:val="003611E6"/>
    <w:rsid w:val="00371E7D"/>
    <w:rsid w:val="00395896"/>
    <w:rsid w:val="003C5CA2"/>
    <w:rsid w:val="00421463"/>
    <w:rsid w:val="004627EA"/>
    <w:rsid w:val="004A24C6"/>
    <w:rsid w:val="004D2A70"/>
    <w:rsid w:val="004E3C59"/>
    <w:rsid w:val="004E3FB7"/>
    <w:rsid w:val="00530616"/>
    <w:rsid w:val="00564929"/>
    <w:rsid w:val="00591D31"/>
    <w:rsid w:val="005A5365"/>
    <w:rsid w:val="005A7DBD"/>
    <w:rsid w:val="005B1F72"/>
    <w:rsid w:val="005C2146"/>
    <w:rsid w:val="00616765"/>
    <w:rsid w:val="0062311A"/>
    <w:rsid w:val="00640670"/>
    <w:rsid w:val="00641424"/>
    <w:rsid w:val="00643AE5"/>
    <w:rsid w:val="00651583"/>
    <w:rsid w:val="006540B6"/>
    <w:rsid w:val="0066273A"/>
    <w:rsid w:val="00663155"/>
    <w:rsid w:val="0066378E"/>
    <w:rsid w:val="0067238D"/>
    <w:rsid w:val="00676D70"/>
    <w:rsid w:val="006C3C97"/>
    <w:rsid w:val="006F5040"/>
    <w:rsid w:val="00704732"/>
    <w:rsid w:val="00710053"/>
    <w:rsid w:val="00712492"/>
    <w:rsid w:val="00722F1B"/>
    <w:rsid w:val="0072656E"/>
    <w:rsid w:val="0079682A"/>
    <w:rsid w:val="007A6BD2"/>
    <w:rsid w:val="007B10F5"/>
    <w:rsid w:val="0080450D"/>
    <w:rsid w:val="0089319A"/>
    <w:rsid w:val="008E7F22"/>
    <w:rsid w:val="00915134"/>
    <w:rsid w:val="0091598E"/>
    <w:rsid w:val="0096092C"/>
    <w:rsid w:val="00967AB6"/>
    <w:rsid w:val="00986CCC"/>
    <w:rsid w:val="009E442B"/>
    <w:rsid w:val="00A00AD9"/>
    <w:rsid w:val="00A10A0F"/>
    <w:rsid w:val="00A17884"/>
    <w:rsid w:val="00A4081B"/>
    <w:rsid w:val="00A45EB3"/>
    <w:rsid w:val="00A67088"/>
    <w:rsid w:val="00A6781F"/>
    <w:rsid w:val="00A749BE"/>
    <w:rsid w:val="00AB128F"/>
    <w:rsid w:val="00AB3A33"/>
    <w:rsid w:val="00AC0A33"/>
    <w:rsid w:val="00AC1D49"/>
    <w:rsid w:val="00AC76E1"/>
    <w:rsid w:val="00B52AAF"/>
    <w:rsid w:val="00B664F0"/>
    <w:rsid w:val="00BA6EFA"/>
    <w:rsid w:val="00BC0DF6"/>
    <w:rsid w:val="00BC59FB"/>
    <w:rsid w:val="00C24122"/>
    <w:rsid w:val="00C320F2"/>
    <w:rsid w:val="00C653B4"/>
    <w:rsid w:val="00CB0A53"/>
    <w:rsid w:val="00CE587B"/>
    <w:rsid w:val="00D041B6"/>
    <w:rsid w:val="00D34554"/>
    <w:rsid w:val="00D514D1"/>
    <w:rsid w:val="00D57BEF"/>
    <w:rsid w:val="00D73183"/>
    <w:rsid w:val="00DC778C"/>
    <w:rsid w:val="00DF75F5"/>
    <w:rsid w:val="00E06C9E"/>
    <w:rsid w:val="00E15109"/>
    <w:rsid w:val="00E665CC"/>
    <w:rsid w:val="00E84B49"/>
    <w:rsid w:val="00E84E76"/>
    <w:rsid w:val="00EB05E6"/>
    <w:rsid w:val="00F72B0C"/>
    <w:rsid w:val="00F93F72"/>
    <w:rsid w:val="00FA5A64"/>
    <w:rsid w:val="00FB6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980B41"/>
  <w15:chartTrackingRefBased/>
  <w15:docId w15:val="{00FF6197-1411-4215-A70D-6081C6EDB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78D1"/>
  </w:style>
  <w:style w:type="paragraph" w:styleId="Heading1">
    <w:name w:val="heading 1"/>
    <w:basedOn w:val="Normal"/>
    <w:next w:val="Normal"/>
    <w:link w:val="Heading1Char"/>
    <w:uiPriority w:val="9"/>
    <w:qFormat/>
    <w:rsid w:val="0070473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6EF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318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1676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E7F22"/>
    <w:pPr>
      <w:ind w:left="720"/>
      <w:contextualSpacing/>
    </w:pPr>
  </w:style>
  <w:style w:type="paragraph" w:customStyle="1" w:styleId="LabTitle">
    <w:name w:val="LabTitle"/>
    <w:basedOn w:val="Normal"/>
    <w:qFormat/>
    <w:rsid w:val="00E06C9E"/>
    <w:pPr>
      <w:jc w:val="center"/>
    </w:pPr>
    <w:rPr>
      <w:rFonts w:ascii="Palatino Linotype" w:hAnsi="Palatino Linotype" w:cs="Segoe UI"/>
      <w:b/>
      <w:bCs/>
      <w:color w:val="C45911" w:themeColor="accent2" w:themeShade="BF"/>
      <w:sz w:val="32"/>
      <w:szCs w:val="32"/>
    </w:rPr>
  </w:style>
  <w:style w:type="paragraph" w:customStyle="1" w:styleId="LabHeader1">
    <w:name w:val="LabHeader1"/>
    <w:basedOn w:val="Normal"/>
    <w:qFormat/>
    <w:rsid w:val="00E06C9E"/>
    <w:rPr>
      <w:rFonts w:ascii="Palatino Linotype" w:hAnsi="Palatino Linotype" w:cs="Segoe UI"/>
      <w:b/>
      <w:bCs/>
      <w:color w:val="538135" w:themeColor="accent6" w:themeShade="BF"/>
      <w:sz w:val="28"/>
      <w:szCs w:val="28"/>
    </w:rPr>
  </w:style>
  <w:style w:type="paragraph" w:customStyle="1" w:styleId="LabHeader2">
    <w:name w:val="LabHeader2"/>
    <w:basedOn w:val="Normal"/>
    <w:qFormat/>
    <w:rsid w:val="00E06C9E"/>
    <w:rPr>
      <w:rFonts w:ascii="Palatino Linotype" w:hAnsi="Palatino Linotype" w:cs="Segoe UI"/>
      <w:b/>
      <w:bCs/>
      <w:color w:val="2E74B5" w:themeColor="accent5" w:themeShade="BF"/>
      <w:sz w:val="24"/>
      <w:szCs w:val="24"/>
    </w:rPr>
  </w:style>
  <w:style w:type="paragraph" w:customStyle="1" w:styleId="LabHeader3">
    <w:name w:val="LabHeader3"/>
    <w:basedOn w:val="Normal"/>
    <w:qFormat/>
    <w:rsid w:val="00E06C9E"/>
    <w:rPr>
      <w:rFonts w:ascii="Palatino Linotype" w:hAnsi="Palatino Linotype" w:cs="Segoe UI"/>
      <w:b/>
      <w:bCs/>
      <w:i/>
      <w:iCs/>
      <w:color w:val="BF8F00" w:themeColor="accent4" w:themeShade="BF"/>
      <w:sz w:val="24"/>
      <w:szCs w:val="24"/>
    </w:rPr>
  </w:style>
  <w:style w:type="paragraph" w:customStyle="1" w:styleId="LabObjectives">
    <w:name w:val="LabObjectives"/>
    <w:basedOn w:val="ListParagraph"/>
    <w:qFormat/>
    <w:rsid w:val="00E06C9E"/>
    <w:pPr>
      <w:numPr>
        <w:numId w:val="1"/>
      </w:numPr>
    </w:pPr>
    <w:rPr>
      <w:rFonts w:ascii="Palatino Linotype" w:hAnsi="Palatino Linotype" w:cs="Segoe UI"/>
      <w:i/>
      <w:iCs/>
      <w:sz w:val="24"/>
      <w:szCs w:val="24"/>
    </w:rPr>
  </w:style>
  <w:style w:type="paragraph" w:customStyle="1" w:styleId="LabText">
    <w:name w:val="LabText"/>
    <w:basedOn w:val="Normal"/>
    <w:qFormat/>
    <w:rsid w:val="00E06C9E"/>
    <w:rPr>
      <w:rFonts w:ascii="Palatino Linotype" w:hAnsi="Palatino Linotype" w:cs="Segoe UI"/>
      <w:sz w:val="24"/>
      <w:szCs w:val="24"/>
    </w:rPr>
  </w:style>
  <w:style w:type="paragraph" w:customStyle="1" w:styleId="LabList">
    <w:name w:val="LabList"/>
    <w:basedOn w:val="ListParagraph"/>
    <w:qFormat/>
    <w:rsid w:val="00E06C9E"/>
    <w:pPr>
      <w:numPr>
        <w:numId w:val="3"/>
      </w:numPr>
    </w:pPr>
    <w:rPr>
      <w:rFonts w:ascii="Palatino Linotype" w:hAnsi="Palatino Linotype" w:cs="Segoe UI"/>
      <w:sz w:val="24"/>
      <w:szCs w:val="24"/>
    </w:rPr>
  </w:style>
  <w:style w:type="paragraph" w:customStyle="1" w:styleId="labNote">
    <w:name w:val="labNote"/>
    <w:basedOn w:val="Normal"/>
    <w:qFormat/>
    <w:rsid w:val="00E06C9E"/>
    <w:rPr>
      <w:rFonts w:ascii="Palatino Linotype" w:hAnsi="Palatino Linotype" w:cs="Segoe UI"/>
      <w:color w:val="C45911" w:themeColor="accent2" w:themeShade="BF"/>
      <w:sz w:val="24"/>
      <w:szCs w:val="24"/>
    </w:rPr>
  </w:style>
  <w:style w:type="paragraph" w:customStyle="1" w:styleId="LabFig">
    <w:name w:val="LabFig"/>
    <w:basedOn w:val="Normal"/>
    <w:qFormat/>
    <w:rsid w:val="00E06C9E"/>
    <w:pPr>
      <w:jc w:val="center"/>
    </w:pPr>
    <w:rPr>
      <w:rFonts w:ascii="Palatino Linotype" w:hAnsi="Palatino Linotype" w:cs="Segoe UI"/>
      <w:noProof/>
      <w:sz w:val="24"/>
      <w:szCs w:val="24"/>
    </w:rPr>
  </w:style>
  <w:style w:type="paragraph" w:customStyle="1" w:styleId="LabFigCap">
    <w:name w:val="LabFigCap"/>
    <w:basedOn w:val="Normal"/>
    <w:qFormat/>
    <w:rsid w:val="00E06C9E"/>
    <w:pPr>
      <w:jc w:val="center"/>
    </w:pPr>
    <w:rPr>
      <w:rFonts w:ascii="Palatino Linotype" w:hAnsi="Palatino Linotype" w:cs="Segoe UI"/>
      <w:color w:val="262626" w:themeColor="text1" w:themeTint="D9"/>
      <w:sz w:val="20"/>
      <w:szCs w:val="20"/>
    </w:rPr>
  </w:style>
  <w:style w:type="paragraph" w:customStyle="1" w:styleId="Style1">
    <w:name w:val="Style1"/>
    <w:basedOn w:val="LabHeader3"/>
    <w:qFormat/>
    <w:rsid w:val="00E06C9E"/>
  </w:style>
  <w:style w:type="paragraph" w:customStyle="1" w:styleId="LabQuestion">
    <w:name w:val="LabQuestion"/>
    <w:basedOn w:val="labNote"/>
    <w:qFormat/>
    <w:rsid w:val="003578D1"/>
    <w:rPr>
      <w:color w:val="C00000"/>
    </w:rPr>
  </w:style>
  <w:style w:type="paragraph" w:customStyle="1" w:styleId="MDPI42tablebody">
    <w:name w:val="MDPI_4.2_table_body"/>
    <w:qFormat/>
    <w:rsid w:val="00C653B4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uiPriority w:val="9"/>
    <w:rsid w:val="00BA6EF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39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3986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70473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semiHidden/>
    <w:rsid w:val="00530616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91D3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D35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A178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semiHidden/>
    <w:rsid w:val="00D73183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730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3077"/>
  </w:style>
  <w:style w:type="paragraph" w:styleId="Footer">
    <w:name w:val="footer"/>
    <w:basedOn w:val="Normal"/>
    <w:link w:val="FooterChar"/>
    <w:uiPriority w:val="99"/>
    <w:unhideWhenUsed/>
    <w:rsid w:val="001730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3077"/>
  </w:style>
  <w:style w:type="character" w:styleId="Strong">
    <w:name w:val="Strong"/>
    <w:basedOn w:val="DefaultParagraphFont"/>
    <w:uiPriority w:val="22"/>
    <w:qFormat/>
    <w:rsid w:val="00676D70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2340A6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967AB6"/>
    <w:pPr>
      <w:spacing w:after="0" w:line="240" w:lineRule="auto"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61676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PlaceholderText">
    <w:name w:val="Placeholder Text"/>
    <w:basedOn w:val="DefaultParagraphFont"/>
    <w:uiPriority w:val="99"/>
    <w:semiHidden/>
    <w:rsid w:val="00AB128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55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6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9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7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9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0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earthdatascience.org/courses/earth-analytics/multispectral-remote-sensing-modis/normalized-burn-index-dNBR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axwel6\Documents\Custom%20Office%20Templates\Lab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72EBBB-28C2-436E-B331-D857C6420A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LabTemplate.dotx</Template>
  <TotalTime>97</TotalTime>
  <Pages>9</Pages>
  <Words>1099</Words>
  <Characters>6266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West Virginia University</Company>
  <LinksUpToDate>false</LinksUpToDate>
  <CharactersWithSpaces>7351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Aaron Maxwell</dc:creator>
  <cp:keywords/>
  <dc:description/>
  <cp:lastModifiedBy>Aaron Maxwell</cp:lastModifiedBy>
  <cp:revision>3</cp:revision>
  <dcterms:created xsi:type="dcterms:W3CDTF">2024-07-10T17:17:00Z</dcterms:created>
  <dcterms:modified xsi:type="dcterms:W3CDTF">2024-07-10T18:53:00Z</dcterms:modified>
</cp:coreProperties>
</file>